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2CD9" w14:textId="2F919BA0" w:rsidR="00C76743" w:rsidRPr="002256C7" w:rsidRDefault="00C76743" w:rsidP="00C7674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  <w:r w:rsidRPr="002256C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1072515" wp14:editId="6B4D1FEF">
            <wp:simplePos x="0" y="0"/>
            <wp:positionH relativeFrom="column">
              <wp:posOffset>0</wp:posOffset>
            </wp:positionH>
            <wp:positionV relativeFrom="paragraph">
              <wp:posOffset>-125095</wp:posOffset>
            </wp:positionV>
            <wp:extent cx="1279525" cy="342900"/>
            <wp:effectExtent l="0" t="0" r="0" b="0"/>
            <wp:wrapThrough wrapText="bothSides">
              <wp:wrapPolygon edited="0">
                <wp:start x="965" y="0"/>
                <wp:lineTo x="0" y="6000"/>
                <wp:lineTo x="0" y="14400"/>
                <wp:lineTo x="965" y="20400"/>
                <wp:lineTo x="3859" y="20400"/>
                <wp:lineTo x="21225" y="16800"/>
                <wp:lineTo x="21225" y="2400"/>
                <wp:lineTo x="3537" y="0"/>
                <wp:lineTo x="9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3834508qptpt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5" b="25255"/>
                    <a:stretch/>
                  </pic:blipFill>
                  <pic:spPr bwMode="auto">
                    <a:xfrm>
                      <a:off x="0" y="0"/>
                      <a:ext cx="12795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E1036" w14:textId="77777777" w:rsidR="008C7623" w:rsidRPr="002256C7" w:rsidRDefault="008C7623" w:rsidP="008C762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</w:p>
    <w:p w14:paraId="62C2DFBE" w14:textId="77777777" w:rsidR="008C7623" w:rsidRPr="002256C7" w:rsidRDefault="008C7623" w:rsidP="008C762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</w:p>
    <w:p w14:paraId="617ADB67" w14:textId="544AD2F9" w:rsidR="006C2310" w:rsidRPr="002256C7" w:rsidRDefault="0054631D" w:rsidP="008C7623">
      <w:pPr>
        <w:pStyle w:val="Normal1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МЕТОДОЛОГИЯ</w:t>
      </w:r>
      <w:r w:rsidR="000B715F" w:rsidRPr="002256C7">
        <w:rPr>
          <w:rFonts w:eastAsia="Calibri"/>
          <w:b/>
          <w:i/>
          <w:sz w:val="26"/>
          <w:szCs w:val="26"/>
        </w:rPr>
        <w:t xml:space="preserve"> ЗА </w:t>
      </w:r>
      <w:r w:rsidR="008C7623" w:rsidRPr="002256C7">
        <w:rPr>
          <w:rFonts w:eastAsia="Calibri"/>
          <w:b/>
          <w:i/>
          <w:sz w:val="26"/>
          <w:szCs w:val="26"/>
        </w:rPr>
        <w:t>ОЦЕНКА НА РИСКА ПРИ ОБРАБОТ</w:t>
      </w:r>
      <w:r>
        <w:rPr>
          <w:rFonts w:eastAsia="Calibri"/>
          <w:b/>
          <w:i/>
          <w:sz w:val="26"/>
          <w:szCs w:val="26"/>
        </w:rPr>
        <w:t>КАТА</w:t>
      </w:r>
      <w:r w:rsidR="008C7623" w:rsidRPr="002256C7">
        <w:rPr>
          <w:rFonts w:eastAsia="Calibri"/>
          <w:b/>
          <w:i/>
          <w:sz w:val="26"/>
          <w:szCs w:val="26"/>
        </w:rPr>
        <w:t xml:space="preserve"> НА ЛИЧНИ ДАННИ</w:t>
      </w:r>
    </w:p>
    <w:p w14:paraId="34ABBC31" w14:textId="77777777" w:rsidR="000B715F" w:rsidRPr="002256C7" w:rsidRDefault="000B715F" w:rsidP="000B715F">
      <w:pPr>
        <w:pStyle w:val="Normal1"/>
        <w:spacing w:before="0" w:beforeAutospacing="0" w:after="0" w:afterAutospacing="0"/>
        <w:ind w:left="214"/>
        <w:rPr>
          <w:rStyle w:val="Strong"/>
          <w:sz w:val="26"/>
          <w:szCs w:val="26"/>
        </w:rPr>
      </w:pPr>
    </w:p>
    <w:p w14:paraId="6D12A084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>Утвърдил:</w:t>
      </w:r>
    </w:p>
    <w:p w14:paraId="7EA4EB13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</w:p>
    <w:p w14:paraId="17DB332A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</w:p>
    <w:p w14:paraId="6FA0B3DD" w14:textId="74A2D277" w:rsidR="000212E8" w:rsidRPr="002256C7" w:rsidRDefault="00B561D8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 xml:space="preserve">доц. д-р Добри </w:t>
      </w:r>
      <w:proofErr w:type="spellStart"/>
      <w:r w:rsidRPr="002256C7">
        <w:rPr>
          <w:rStyle w:val="Strong"/>
          <w:sz w:val="26"/>
          <w:szCs w:val="26"/>
        </w:rPr>
        <w:t>Ярков</w:t>
      </w:r>
      <w:proofErr w:type="spellEnd"/>
    </w:p>
    <w:p w14:paraId="4F467E17" w14:textId="257110F9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>Ректор на Тракийски университет</w:t>
      </w:r>
    </w:p>
    <w:p w14:paraId="52251569" w14:textId="77777777" w:rsidR="000B715F" w:rsidRPr="002256C7" w:rsidRDefault="000B715F" w:rsidP="00D0498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D8D9081" w14:textId="77777777" w:rsidR="000B715F" w:rsidRPr="002256C7" w:rsidRDefault="000B715F" w:rsidP="00D0498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7E1D383" w14:textId="77777777" w:rsidR="00576532" w:rsidRPr="002256C7" w:rsidRDefault="00576532" w:rsidP="00E77DB1">
      <w:pPr>
        <w:ind w:left="360" w:firstLine="20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1. ЦЕЛИ</w:t>
      </w:r>
    </w:p>
    <w:p w14:paraId="09F3890B" w14:textId="6AB84121" w:rsidR="001317AE" w:rsidRPr="001317AE" w:rsidRDefault="001317AE" w:rsidP="00E41BBF">
      <w:pPr>
        <w:pStyle w:val="ListParagraph"/>
        <w:numPr>
          <w:ilvl w:val="0"/>
          <w:numId w:val="40"/>
        </w:numPr>
        <w:ind w:left="284" w:firstLine="43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317AE">
        <w:rPr>
          <w:rStyle w:val="hps"/>
          <w:rFonts w:ascii="Times New Roman" w:hAnsi="Times New Roman" w:cs="Times New Roman"/>
          <w:sz w:val="26"/>
          <w:szCs w:val="26"/>
          <w:lang w:val="bg-BG"/>
        </w:rPr>
        <w:t>Дефиниране на методиката за оценка на риска за притежаваните от Университета лични данни, по отношение гарантиране сигурността им.</w:t>
      </w:r>
    </w:p>
    <w:p w14:paraId="429BAC83" w14:textId="0F021FC3" w:rsidR="00F8248E" w:rsidRPr="001317AE" w:rsidRDefault="001317AE" w:rsidP="0028331D">
      <w:pPr>
        <w:pStyle w:val="ListParagraph"/>
        <w:numPr>
          <w:ilvl w:val="0"/>
          <w:numId w:val="42"/>
        </w:numPr>
        <w:ind w:left="284" w:firstLine="436"/>
        <w:rPr>
          <w:rFonts w:ascii="Times New Roman" w:hAnsi="Times New Roman" w:cs="Times New Roman"/>
          <w:sz w:val="26"/>
          <w:szCs w:val="26"/>
          <w:lang w:val="bg-BG"/>
        </w:rPr>
      </w:pPr>
      <w:r w:rsidRPr="001317AE">
        <w:rPr>
          <w:rStyle w:val="hps"/>
          <w:rFonts w:ascii="Times New Roman" w:hAnsi="Times New Roman" w:cs="Times New Roman"/>
          <w:sz w:val="26"/>
          <w:szCs w:val="26"/>
          <w:lang w:val="bg-BG"/>
        </w:rPr>
        <w:t>Осигуряване на адекватна защита на конфиденциалността, целостта и наличността на личните данни, администрирани от организацията.</w:t>
      </w:r>
      <w:r w:rsidR="00576532" w:rsidRPr="001317AE">
        <w:rPr>
          <w:rStyle w:val="hps"/>
          <w:rFonts w:ascii="Times New Roman" w:hAnsi="Times New Roman" w:cs="Times New Roman"/>
          <w:b/>
          <w:sz w:val="26"/>
          <w:szCs w:val="26"/>
          <w:u w:val="single"/>
          <w:lang w:val="bg-BG"/>
        </w:rPr>
        <w:cr/>
      </w:r>
    </w:p>
    <w:p w14:paraId="0D5F5DD3" w14:textId="77777777" w:rsidR="00576532" w:rsidRPr="002256C7" w:rsidRDefault="00576532" w:rsidP="00E77DB1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2. ОБХВАТ</w:t>
      </w:r>
    </w:p>
    <w:p w14:paraId="6935F315" w14:textId="28B81E89" w:rsidR="00F8248E" w:rsidRPr="002256C7" w:rsidRDefault="00806321" w:rsidP="00806321">
      <w:pPr>
        <w:pStyle w:val="ListParagraph"/>
        <w:ind w:left="284" w:firstLine="43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806321">
        <w:rPr>
          <w:rStyle w:val="hps"/>
          <w:rFonts w:ascii="Times New Roman" w:hAnsi="Times New Roman" w:cs="Times New Roman"/>
          <w:sz w:val="26"/>
          <w:szCs w:val="26"/>
          <w:lang w:val="bg-BG"/>
        </w:rPr>
        <w:t>Методологията обхваща целия процес по оценка на риска на ЛД, администрирани от</w:t>
      </w:r>
      <w:r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06321">
        <w:rPr>
          <w:rStyle w:val="hps"/>
          <w:rFonts w:ascii="Times New Roman" w:hAnsi="Times New Roman" w:cs="Times New Roman"/>
          <w:sz w:val="26"/>
          <w:szCs w:val="26"/>
          <w:lang w:val="bg-BG"/>
        </w:rPr>
        <w:t>Университета, попадащи в обхвата на Общия регламент за защита на данни /ОРЗД/GDPR/</w:t>
      </w:r>
    </w:p>
    <w:p w14:paraId="4E173E6F" w14:textId="77777777" w:rsidR="00806321" w:rsidRDefault="00806321" w:rsidP="001824DB">
      <w:pPr>
        <w:pStyle w:val="ListParagraph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21B865B" w14:textId="79871400" w:rsidR="001824DB" w:rsidRPr="001313A9" w:rsidRDefault="001824DB" w:rsidP="001824DB">
      <w:pPr>
        <w:pStyle w:val="ListParagraph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313A9">
        <w:rPr>
          <w:rFonts w:ascii="Times New Roman" w:hAnsi="Times New Roman" w:cs="Times New Roman"/>
          <w:b/>
          <w:sz w:val="26"/>
          <w:szCs w:val="26"/>
          <w:lang w:val="bg-BG"/>
        </w:rPr>
        <w:t>3. ОТГОВОРНОСТИ</w:t>
      </w:r>
    </w:p>
    <w:p w14:paraId="35530201" w14:textId="3D910182" w:rsidR="001824DB" w:rsidRPr="002256C7" w:rsidRDefault="00806321" w:rsidP="008A6722">
      <w:pPr>
        <w:ind w:firstLine="567"/>
        <w:rPr>
          <w:rFonts w:ascii="Times New Roman" w:hAnsi="Times New Roman" w:cs="Times New Roman"/>
          <w:b/>
          <w:i/>
          <w:sz w:val="26"/>
          <w:szCs w:val="26"/>
          <w:u w:val="single"/>
          <w:lang w:val="bg-BG"/>
        </w:rPr>
      </w:pPr>
      <w:r w:rsidRPr="00806321">
        <w:rPr>
          <w:rFonts w:ascii="Times New Roman" w:hAnsi="Times New Roman" w:cs="Times New Roman"/>
          <w:sz w:val="26"/>
          <w:szCs w:val="26"/>
          <w:lang w:val="bg-BG"/>
        </w:rPr>
        <w:t>Настоящата методология се прилага от ръководителите на отделите и звената в ТрУ, членовете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06321">
        <w:rPr>
          <w:rFonts w:ascii="Times New Roman" w:hAnsi="Times New Roman" w:cs="Times New Roman"/>
          <w:sz w:val="26"/>
          <w:szCs w:val="26"/>
          <w:lang w:val="bg-BG"/>
        </w:rPr>
        <w:t>на работна група по защита на ЛД и DPO.</w:t>
      </w:r>
      <w:r w:rsidRPr="00806321">
        <w:rPr>
          <w:rFonts w:ascii="Times New Roman" w:hAnsi="Times New Roman" w:cs="Times New Roman"/>
          <w:sz w:val="26"/>
          <w:szCs w:val="26"/>
          <w:lang w:val="bg-BG"/>
        </w:rPr>
        <w:cr/>
      </w:r>
    </w:p>
    <w:p w14:paraId="506D6578" w14:textId="77777777" w:rsidR="001824DB" w:rsidRPr="002256C7" w:rsidRDefault="001824DB" w:rsidP="001824DB">
      <w:pPr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4. ТЕРМИНОЛОГИЯ И СЪКРАЩЕНИЯ</w:t>
      </w:r>
    </w:p>
    <w:p w14:paraId="0FDA7E92" w14:textId="0E53AC7B" w:rsidR="001824DB" w:rsidRPr="001C2F18" w:rsidRDefault="001824DB" w:rsidP="001C2F18">
      <w:pPr>
        <w:pStyle w:val="ListParagraph"/>
        <w:widowControl w:val="0"/>
        <w:numPr>
          <w:ilvl w:val="0"/>
          <w:numId w:val="17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 – Тракийски университет – Стара Загора</w:t>
      </w:r>
    </w:p>
    <w:p w14:paraId="4C364F93" w14:textId="5E61727F" w:rsidR="001824DB" w:rsidRPr="001C2F1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DPO –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Protection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Officer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/Длъжностно лице по защита на личните данни/</w:t>
      </w:r>
    </w:p>
    <w:p w14:paraId="05A8AE7B" w14:textId="3B1F3C02" w:rsidR="001824DB" w:rsidRPr="001C2F18" w:rsidRDefault="001824DB" w:rsidP="00CB1C06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DPIA –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Privacy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Impact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Assessment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/Оценка на Въздействието върху Защитата на</w:t>
      </w:r>
      <w:r w:rsidR="002256C7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Данните/</w:t>
      </w:r>
    </w:p>
    <w:p w14:paraId="333A6293" w14:textId="79337C40" w:rsidR="001824DB" w:rsidRPr="001C2F1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ЛД – Лични данни</w:t>
      </w:r>
    </w:p>
    <w:p w14:paraId="0C74DCAE" w14:textId="43A87C6E" w:rsidR="0053184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GDPR – General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Protection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Regulation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/Общ регламент за защита на данните/</w:t>
      </w:r>
    </w:p>
    <w:p w14:paraId="31BA6DA4" w14:textId="325DA5D9" w:rsidR="008A6722" w:rsidRPr="001C2F18" w:rsidRDefault="008A6722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hps"/>
          <w:rFonts w:ascii="Times New Roman" w:hAnsi="Times New Roman" w:cs="Times New Roman"/>
          <w:sz w:val="26"/>
          <w:szCs w:val="26"/>
          <w:lang w:val="bg-BG"/>
        </w:rPr>
        <w:t>Работна група по защита на ЛД</w:t>
      </w:r>
    </w:p>
    <w:p w14:paraId="51BE7225" w14:textId="77777777" w:rsidR="001824DB" w:rsidRPr="002256C7" w:rsidRDefault="001824DB" w:rsidP="00835BA6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6"/>
          <w:szCs w:val="26"/>
          <w:lang w:val="bg-BG"/>
        </w:rPr>
      </w:pPr>
    </w:p>
    <w:p w14:paraId="07A9E7CA" w14:textId="77777777" w:rsidR="001824DB" w:rsidRPr="002256C7" w:rsidRDefault="001824DB" w:rsidP="001824DB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b/>
          <w:sz w:val="26"/>
          <w:szCs w:val="26"/>
          <w:lang w:val="bg-BG"/>
        </w:rPr>
        <w:t>5. ДЕЙСТВИЯ И МЕТОДИ</w:t>
      </w:r>
    </w:p>
    <w:p w14:paraId="3E67C884" w14:textId="77777777" w:rsidR="00E71126" w:rsidRP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b/>
          <w:sz w:val="26"/>
          <w:szCs w:val="26"/>
          <w:lang w:val="bg-BG"/>
        </w:rPr>
        <w:t>5.1. ИЗВЪРШВАНЕ НА ПЪВОНАЧАЛНА ОЦЕНКА</w:t>
      </w:r>
    </w:p>
    <w:p w14:paraId="78A908DD" w14:textId="21965BA8" w:rsidR="00E71126" w:rsidRP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t>Съгласно GDPR не се изисква DPIA за всяка операция по обработване на ЛД, която може да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породи рискове за правата и свободите на физическите лица. Извършването на DPIA е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задължително, само когато съществува вероятност обработването да породи висок риск за правата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и свободите на физическите лица. Това е от особено значение, когато се въвежда нова технология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за обработване на данни. В случай, че не е ясно дали се изисква DPIA, препоръчително е такава да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бъде направена.</w:t>
      </w:r>
    </w:p>
    <w:p w14:paraId="6C6BF47E" w14:textId="4F9F7A1B" w:rsidR="00531848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lastRenderedPageBreak/>
        <w:t>Обстоятелства, които биха породили необходимост да се извърши DPIA са:</w:t>
      </w:r>
    </w:p>
    <w:p w14:paraId="61BE4303" w14:textId="2BED5F52" w:rsidR="00E71126" w:rsidRPr="0045153D" w:rsidRDefault="00E71126" w:rsidP="001949F4">
      <w:pPr>
        <w:pStyle w:val="ListParagraph"/>
        <w:widowControl w:val="0"/>
        <w:numPr>
          <w:ilvl w:val="0"/>
          <w:numId w:val="43"/>
        </w:numPr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Систематична и подробна оценка на личните аспекти по отношение на физически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лица, която се базира на автоматично обработване, включително профилиране, и служи за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основа на решения, които имат правни последици за физическите лица или по подобен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начин сериозно засягат субектите на данни. Това може да включва анализиране и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прогнозиране на аспекти, отнасящи се до представянето на работното място,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икономическото положение, здравето, личните предпочитания или интереси, надеждността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или поведението, местонахождението или движенията в пространството, с цел създаване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или използване на лични профили;</w:t>
      </w:r>
    </w:p>
    <w:p w14:paraId="5B1DB430" w14:textId="1B1263E0" w:rsidR="00E71126" w:rsidRPr="0045153D" w:rsidRDefault="00E71126" w:rsidP="0045153D">
      <w:pPr>
        <w:pStyle w:val="ListParagraph"/>
        <w:widowControl w:val="0"/>
        <w:numPr>
          <w:ilvl w:val="0"/>
          <w:numId w:val="43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Обработване в голям мащаб на чувствителни ЛД;</w:t>
      </w:r>
    </w:p>
    <w:p w14:paraId="1D967712" w14:textId="78B8AF4A" w:rsidR="00E71126" w:rsidRPr="0045153D" w:rsidRDefault="00E71126" w:rsidP="0045153D">
      <w:pPr>
        <w:pStyle w:val="ListParagraph"/>
        <w:widowControl w:val="0"/>
        <w:numPr>
          <w:ilvl w:val="0"/>
          <w:numId w:val="43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Систематично, мащабно наблюдение на публично достъпни зони.</w:t>
      </w:r>
    </w:p>
    <w:p w14:paraId="53927513" w14:textId="2A79D262" w:rsidR="00E71126" w:rsidRP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t>Така посочените обстоятелства не са изчерпателни, възможно е да съществуват и други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операции, които не са включени в този списък, които да пораждат сходен висок риск. При планиране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на такива операции, те следва да подлежат на DPIA.</w:t>
      </w:r>
    </w:p>
    <w:p w14:paraId="2E3EA63E" w14:textId="2859F400" w:rsidR="00E71126" w:rsidRP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t>Първоначалната оценка на риска се извършва от ръководителя на отдела, иницииращ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внедряването на новия процес или промяната на вече съществуващ такъв, като при необходимост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търси съдействие от DPO и/или други служители/отдели в Университета.</w:t>
      </w:r>
    </w:p>
    <w:p w14:paraId="25F7030D" w14:textId="2D7401B0" w:rsidR="00E71126" w:rsidRP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t>За да се прецени, дали дадена операция или набор от операции по обработването изисква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DPIA, следва да се вземат под внимание следните критерии:</w:t>
      </w:r>
    </w:p>
    <w:p w14:paraId="103CE3CA" w14:textId="68132BB8" w:rsidR="00E71126" w:rsidRPr="0045153D" w:rsidRDefault="00E71126" w:rsidP="0045153D">
      <w:pPr>
        <w:pStyle w:val="ListParagraph"/>
        <w:widowControl w:val="0"/>
        <w:numPr>
          <w:ilvl w:val="0"/>
          <w:numId w:val="43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Оценка или точкуване;</w:t>
      </w:r>
    </w:p>
    <w:p w14:paraId="6CE7C69B" w14:textId="06F5D8DC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Автоматизирано вземане на решения с правни последици или подобни сериозни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последици за субекта на ЛД;</w:t>
      </w:r>
    </w:p>
    <w:p w14:paraId="12BB1E06" w14:textId="72A3698C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Систематично наблюдение;</w:t>
      </w:r>
    </w:p>
    <w:p w14:paraId="2F7B8D72" w14:textId="1487E758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Чувствителни данни или данни от изключително лично естество;</w:t>
      </w:r>
    </w:p>
    <w:p w14:paraId="31EE09E9" w14:textId="758CD7EF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Мащабно обработване на данни;</w:t>
      </w:r>
    </w:p>
    <w:p w14:paraId="13FEEBAA" w14:textId="6D931088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Търсене на съвпадения или съчетаване на набори от данни;</w:t>
      </w:r>
    </w:p>
    <w:p w14:paraId="35A39F31" w14:textId="01922689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hanging="720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Данни относно уязвими субекти на данни;</w:t>
      </w:r>
    </w:p>
    <w:p w14:paraId="7A209A51" w14:textId="38C412C5" w:rsidR="00E71126" w:rsidRPr="0045153D" w:rsidRDefault="00E71126" w:rsidP="0045153D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Иновативно използване или прилагане на нови технологични или организационни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решения;</w:t>
      </w:r>
    </w:p>
    <w:p w14:paraId="0ABAC81E" w14:textId="7FA82F32" w:rsidR="00E71126" w:rsidRPr="0045153D" w:rsidRDefault="00E71126" w:rsidP="00CD2D2A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45153D">
        <w:rPr>
          <w:rFonts w:ascii="Times New Roman" w:hAnsi="Times New Roman" w:cs="Times New Roman"/>
          <w:sz w:val="26"/>
          <w:szCs w:val="26"/>
          <w:lang w:val="bg-BG"/>
        </w:rPr>
        <w:t>Операциите сами по себе си възпрепятстват субектите на ЛД да упражняват дадено</w:t>
      </w:r>
      <w:r w:rsidR="0045153D" w:rsidRP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5153D">
        <w:rPr>
          <w:rFonts w:ascii="Times New Roman" w:hAnsi="Times New Roman" w:cs="Times New Roman"/>
          <w:sz w:val="26"/>
          <w:szCs w:val="26"/>
          <w:lang w:val="bg-BG"/>
        </w:rPr>
        <w:t>право или да използват някоя услуга или договор.</w:t>
      </w:r>
    </w:p>
    <w:p w14:paraId="40D01F39" w14:textId="77777777" w:rsidR="0045153D" w:rsidRDefault="0045153D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</w:p>
    <w:p w14:paraId="341C48BB" w14:textId="4C99A8E6" w:rsidR="00E71126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Fonts w:ascii="Times New Roman" w:hAnsi="Times New Roman" w:cs="Times New Roman"/>
          <w:sz w:val="26"/>
          <w:szCs w:val="26"/>
          <w:lang w:val="bg-BG"/>
        </w:rPr>
        <w:t>За идентифицирането на тези критерии, следва да се даде отговор на следните въпроси от</w:t>
      </w:r>
      <w:r w:rsidR="0045153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Fonts w:ascii="Times New Roman" w:hAnsi="Times New Roman" w:cs="Times New Roman"/>
          <w:sz w:val="26"/>
          <w:szCs w:val="26"/>
          <w:lang w:val="bg-BG"/>
        </w:rPr>
        <w:t>собственика на информацията (ръководителя на отдела, инициирал процеса):</w:t>
      </w:r>
    </w:p>
    <w:p w14:paraId="33D0699A" w14:textId="77777777" w:rsidR="00E71126" w:rsidRPr="002256C7" w:rsidRDefault="00E71126" w:rsidP="00E71126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083"/>
        <w:gridCol w:w="2405"/>
      </w:tblGrid>
      <w:tr w:rsidR="00E71126" w14:paraId="3ACF44FF" w14:textId="77777777" w:rsidTr="00E83032">
        <w:tc>
          <w:tcPr>
            <w:tcW w:w="7083" w:type="dxa"/>
          </w:tcPr>
          <w:p w14:paraId="02B958EB" w14:textId="4B7A902F" w:rsidR="00E71126" w:rsidRPr="00D7425C" w:rsidRDefault="00D7425C" w:rsidP="00D7425C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оценка, профилиране или прогнозиране на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аспекти, имащи отношение към резултатите в работата на субектите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на ЛД, тяхното здраве, икономическо състояние, лични предпочитания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или интереси, благонадеждността или поведението им,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местоположението или движенията им?</w:t>
            </w:r>
          </w:p>
        </w:tc>
        <w:tc>
          <w:tcPr>
            <w:tcW w:w="2405" w:type="dxa"/>
          </w:tcPr>
          <w:p w14:paraId="70CAEA85" w14:textId="77777777" w:rsidR="00D7425C" w:rsidRPr="00D7425C" w:rsidRDefault="00D7425C" w:rsidP="00D7425C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77E0D217" w14:textId="77777777" w:rsidR="00E71126" w:rsidRDefault="00D7425C" w:rsidP="00D7425C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1B94E985" w14:textId="4DA2C15C" w:rsidR="00D7425C" w:rsidRPr="00D7425C" w:rsidRDefault="00D7425C" w:rsidP="00D7425C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71126" w14:paraId="3822AD22" w14:textId="77777777" w:rsidTr="00E83032">
        <w:tc>
          <w:tcPr>
            <w:tcW w:w="7083" w:type="dxa"/>
          </w:tcPr>
          <w:p w14:paraId="3C96C586" w14:textId="6157863A" w:rsidR="00E7112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Процесът ще включва ли автоматизирано вземане на решения, които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имат правни последици за физическите лица или ги засягат сериозно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 подобен начин?</w:t>
            </w:r>
          </w:p>
        </w:tc>
        <w:tc>
          <w:tcPr>
            <w:tcW w:w="2405" w:type="dxa"/>
          </w:tcPr>
          <w:p w14:paraId="4756E3AC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7F248C2E" w14:textId="68E9BC41" w:rsidR="00E7112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</w:tc>
      </w:tr>
      <w:tr w:rsidR="00E71126" w14:paraId="16038489" w14:textId="77777777" w:rsidTr="00E83032">
        <w:tc>
          <w:tcPr>
            <w:tcW w:w="7083" w:type="dxa"/>
          </w:tcPr>
          <w:p w14:paraId="2558C4E6" w14:textId="5A0BCE54" w:rsidR="00E7112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обработване, чрез систематично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наблюдение, което се използва за мониторинг или контрол на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субектите на данни, които се събират чрез мрежи, или чрез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систематично, мащабно наблюдение на публично достъпни зони?</w:t>
            </w:r>
          </w:p>
        </w:tc>
        <w:tc>
          <w:tcPr>
            <w:tcW w:w="2405" w:type="dxa"/>
          </w:tcPr>
          <w:p w14:paraId="3C25B63D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0DCD0CF1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 посочете подробности.</w:t>
            </w:r>
          </w:p>
          <w:p w14:paraId="59867356" w14:textId="77777777" w:rsidR="00E71126" w:rsidRPr="003611E6" w:rsidRDefault="00E71126" w:rsidP="001824DB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71126" w14:paraId="70881939" w14:textId="77777777" w:rsidTr="00E83032">
        <w:tc>
          <w:tcPr>
            <w:tcW w:w="7083" w:type="dxa"/>
          </w:tcPr>
          <w:p w14:paraId="53D9DDB1" w14:textId="68A68EB1" w:rsidR="00E83032" w:rsidRP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обработването на чувствителни данни или данни от изключително лично естество, като:</w:t>
            </w:r>
          </w:p>
          <w:p w14:paraId="681AB80C" w14:textId="73BABEFF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Расов или етнически произход;</w:t>
            </w:r>
          </w:p>
          <w:p w14:paraId="6413A203" w14:textId="2B0F248E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Здравословно състояние;</w:t>
            </w:r>
          </w:p>
          <w:p w14:paraId="603B3E61" w14:textId="123D0FF5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Полов живот или сексуална ориентация;</w:t>
            </w:r>
          </w:p>
          <w:p w14:paraId="5BD501A7" w14:textId="313ADF76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Политически възгледи;</w:t>
            </w:r>
          </w:p>
          <w:p w14:paraId="15AD4B86" w14:textId="5722F34F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Религиозни или философски убеждения;</w:t>
            </w:r>
          </w:p>
          <w:p w14:paraId="3436FDB7" w14:textId="679A4CA2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Членство в синдикални организации;</w:t>
            </w:r>
          </w:p>
          <w:p w14:paraId="4D81950E" w14:textId="1068B8AF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ind w:left="33" w:firstLine="327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Биометрични и генетични данни използвани единствено с цел идентифицирането на субектите на ЛД;</w:t>
            </w:r>
          </w:p>
          <w:p w14:paraId="7F4025D4" w14:textId="481F08C1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ind w:left="33" w:firstLine="327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Финансови данни, като данни за банкови сметки, кредитни</w:t>
            </w:r>
          </w:p>
          <w:p w14:paraId="5AF83DDC" w14:textId="77777777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карти и др.;</w:t>
            </w:r>
          </w:p>
          <w:p w14:paraId="20002A87" w14:textId="23B4AB02" w:rsidR="00E71126" w:rsidRPr="00E83032" w:rsidRDefault="00E83032" w:rsidP="00E83032">
            <w:pPr>
              <w:pStyle w:val="ListParagraph"/>
              <w:numPr>
                <w:ilvl w:val="0"/>
                <w:numId w:val="47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Данни за съдимост.</w:t>
            </w:r>
          </w:p>
        </w:tc>
        <w:tc>
          <w:tcPr>
            <w:tcW w:w="2405" w:type="dxa"/>
          </w:tcPr>
          <w:p w14:paraId="4533C602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6E401FCD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 посочете подробности.</w:t>
            </w:r>
          </w:p>
          <w:p w14:paraId="416C3DB5" w14:textId="77777777" w:rsidR="00E71126" w:rsidRPr="003611E6" w:rsidRDefault="00E71126" w:rsidP="001824DB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71126" w14:paraId="6AE45F17" w14:textId="77777777" w:rsidTr="00E83032">
        <w:tc>
          <w:tcPr>
            <w:tcW w:w="7083" w:type="dxa"/>
          </w:tcPr>
          <w:p w14:paraId="0EF4252B" w14:textId="08CB9CB8" w:rsidR="00E83032" w:rsidRP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мащабно обработване на данни? За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идентифициране на обработването, като мащабно, могат да се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използват следните критерии:</w:t>
            </w:r>
          </w:p>
          <w:p w14:paraId="4742A874" w14:textId="06342B74" w:rsidR="00E83032" w:rsidRPr="00E83032" w:rsidRDefault="00E83032" w:rsidP="00E83032">
            <w:pPr>
              <w:pStyle w:val="ListParagraph"/>
              <w:numPr>
                <w:ilvl w:val="0"/>
                <w:numId w:val="47"/>
              </w:numPr>
              <w:ind w:left="0" w:firstLine="36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Брой на засегнатите субекти, като конкретна цифра или като</w:t>
            </w:r>
          </w:p>
          <w:p w14:paraId="63454F11" w14:textId="77777777" w:rsidR="00E83032" w:rsidRPr="00E83032" w:rsidRDefault="00E83032" w:rsidP="00E83032">
            <w:pPr>
              <w:pStyle w:val="ListParagraph"/>
              <w:numPr>
                <w:ilvl w:val="0"/>
                <w:numId w:val="48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дял от съответното население;</w:t>
            </w:r>
          </w:p>
          <w:p w14:paraId="74F732B6" w14:textId="3C48D5D9" w:rsidR="00E83032" w:rsidRPr="00E83032" w:rsidRDefault="00E83032" w:rsidP="00E83032">
            <w:pPr>
              <w:pStyle w:val="ListParagraph"/>
              <w:numPr>
                <w:ilvl w:val="0"/>
                <w:numId w:val="48"/>
              </w:numPr>
              <w:ind w:left="0" w:firstLine="36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Обемът на данните и/или обхватът на различните видове</w:t>
            </w:r>
          </w:p>
          <w:p w14:paraId="4A6173C4" w14:textId="77777777" w:rsidR="00E83032" w:rsidRPr="00E83032" w:rsidRDefault="00E83032" w:rsidP="00E83032">
            <w:pPr>
              <w:pStyle w:val="ListParagraph"/>
              <w:numPr>
                <w:ilvl w:val="0"/>
                <w:numId w:val="48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данни, които се обработват;</w:t>
            </w:r>
          </w:p>
          <w:p w14:paraId="17A30597" w14:textId="3FEE6958" w:rsidR="00E83032" w:rsidRPr="00E83032" w:rsidRDefault="00E83032" w:rsidP="00E83032">
            <w:pPr>
              <w:pStyle w:val="ListParagraph"/>
              <w:numPr>
                <w:ilvl w:val="0"/>
                <w:numId w:val="48"/>
              </w:numPr>
              <w:ind w:left="33" w:firstLine="327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Продължителността или непрекъснатостта на дейността по</w:t>
            </w:r>
          </w:p>
          <w:p w14:paraId="641A2E19" w14:textId="77777777" w:rsidR="00E83032" w:rsidRPr="00E83032" w:rsidRDefault="00E83032" w:rsidP="00E83032">
            <w:pPr>
              <w:pStyle w:val="ListParagraph"/>
              <w:numPr>
                <w:ilvl w:val="0"/>
                <w:numId w:val="48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обработване на данните;</w:t>
            </w:r>
          </w:p>
          <w:p w14:paraId="303CA30F" w14:textId="2E69DC22" w:rsidR="00E71126" w:rsidRPr="00E83032" w:rsidRDefault="00E83032" w:rsidP="00E83032">
            <w:pPr>
              <w:pStyle w:val="ListParagraph"/>
              <w:numPr>
                <w:ilvl w:val="0"/>
                <w:numId w:val="48"/>
              </w:num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Географски обхват на дейността по обработване.</w:t>
            </w:r>
          </w:p>
        </w:tc>
        <w:tc>
          <w:tcPr>
            <w:tcW w:w="2405" w:type="dxa"/>
          </w:tcPr>
          <w:p w14:paraId="7CAD9A9A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2B110074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611E6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 посочете подробности.</w:t>
            </w:r>
          </w:p>
          <w:p w14:paraId="214839F6" w14:textId="77777777" w:rsidR="00E71126" w:rsidRPr="003611E6" w:rsidRDefault="00E71126" w:rsidP="001824DB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3611E6" w14:paraId="4BB3CD05" w14:textId="77777777" w:rsidTr="00E83032">
        <w:tc>
          <w:tcPr>
            <w:tcW w:w="7083" w:type="dxa"/>
          </w:tcPr>
          <w:p w14:paraId="5620F58F" w14:textId="3B0629F2" w:rsidR="003611E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включва ли търсене на съвпадение или съчетаване на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набори от данни, например с произход от две или повече операции по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обработването на данни, извършени за различни цели и/или от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различни администратори, по начин, който надхвърля разумните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очаквания на субекта на ЛД?</w:t>
            </w:r>
          </w:p>
        </w:tc>
        <w:tc>
          <w:tcPr>
            <w:tcW w:w="2405" w:type="dxa"/>
          </w:tcPr>
          <w:p w14:paraId="3C720BAE" w14:textId="77777777" w:rsidR="003611E6" w:rsidRPr="00D7425C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7E36E7DA" w14:textId="77777777" w:rsid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497940B2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3611E6" w14:paraId="0B0725C4" w14:textId="77777777" w:rsidTr="00E83032">
        <w:tc>
          <w:tcPr>
            <w:tcW w:w="7083" w:type="dxa"/>
          </w:tcPr>
          <w:p w14:paraId="067605EB" w14:textId="77777777" w:rsid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включва ли обработването на данни относно уязвими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субекти? </w:t>
            </w:r>
          </w:p>
          <w:p w14:paraId="06074AE6" w14:textId="6E1DC0B0" w:rsidR="00E83032" w:rsidRP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Тук се включват физически лица, които може да не са в</w:t>
            </w:r>
          </w:p>
          <w:p w14:paraId="4BCD2949" w14:textId="0534AF22" w:rsidR="003611E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състояние лесно да се съгласят или да възразят срещу обработването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на техните ЛД (напр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: деца, възрастни или болни хора).</w:t>
            </w:r>
          </w:p>
        </w:tc>
        <w:tc>
          <w:tcPr>
            <w:tcW w:w="2405" w:type="dxa"/>
          </w:tcPr>
          <w:p w14:paraId="747CC711" w14:textId="77777777" w:rsidR="003611E6" w:rsidRPr="00D7425C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ДА/НЕ</w:t>
            </w:r>
          </w:p>
          <w:p w14:paraId="71EDD042" w14:textId="77777777" w:rsid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18B5A1A6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3611E6" w14:paraId="62BC8847" w14:textId="77777777" w:rsidTr="00E83032">
        <w:tc>
          <w:tcPr>
            <w:tcW w:w="7083" w:type="dxa"/>
          </w:tcPr>
          <w:p w14:paraId="2C40761E" w14:textId="179DFE84" w:rsidR="003611E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Процесът предвижда ли използването или прилагането на нови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технологични или организационни решения, включващи, като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например съчетаване на използването на пръстови отпечатъци 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разпознаване на лицата с цел подобряване на контрола за физически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достъп?</w:t>
            </w:r>
          </w:p>
        </w:tc>
        <w:tc>
          <w:tcPr>
            <w:tcW w:w="2405" w:type="dxa"/>
          </w:tcPr>
          <w:p w14:paraId="2058C732" w14:textId="77777777" w:rsidR="003611E6" w:rsidRPr="00D7425C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08DE9BAA" w14:textId="77777777" w:rsid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4000334B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3611E6" w14:paraId="33C0572D" w14:textId="77777777" w:rsidTr="00E83032">
        <w:tc>
          <w:tcPr>
            <w:tcW w:w="7083" w:type="dxa"/>
          </w:tcPr>
          <w:p w14:paraId="47F1F223" w14:textId="77777777" w:rsidR="00E83032" w:rsidRP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операции, които сами по себе си</w:t>
            </w:r>
          </w:p>
          <w:p w14:paraId="33937328" w14:textId="77777777" w:rsidR="00E83032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възпрепятстват субектите на данни да упражняват дадено право или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да използват някоя услуга или договор? </w:t>
            </w:r>
          </w:p>
          <w:p w14:paraId="75C5094B" w14:textId="543C97AC" w:rsidR="003611E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Пример за това са справките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извършвани от банки в референтна база данни за кредити, с цел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предложение или отказ на услуга.</w:t>
            </w:r>
          </w:p>
        </w:tc>
        <w:tc>
          <w:tcPr>
            <w:tcW w:w="2405" w:type="dxa"/>
          </w:tcPr>
          <w:p w14:paraId="30A5CD78" w14:textId="77777777" w:rsidR="003611E6" w:rsidRPr="00D7425C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63C84BBC" w14:textId="77777777" w:rsid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23028BF7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3611E6" w14:paraId="58208BED" w14:textId="77777777" w:rsidTr="00E83032">
        <w:tc>
          <w:tcPr>
            <w:tcW w:w="7083" w:type="dxa"/>
          </w:tcPr>
          <w:p w14:paraId="74DD2805" w14:textId="500C6E04" w:rsidR="003611E6" w:rsidRPr="003611E6" w:rsidRDefault="00E83032" w:rsidP="00E83032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Процесът ще включва ли трансфер на ЛД в държави извън ЕС, които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не са определени от Европейската комисия, като имащи адекватно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83032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ниво на защита на ЛД.</w:t>
            </w:r>
          </w:p>
        </w:tc>
        <w:tc>
          <w:tcPr>
            <w:tcW w:w="2405" w:type="dxa"/>
          </w:tcPr>
          <w:p w14:paraId="79C0A090" w14:textId="77777777" w:rsidR="003611E6" w:rsidRPr="00D7425C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ДА/НЕ</w:t>
            </w:r>
          </w:p>
          <w:p w14:paraId="6DDCB4BD" w14:textId="77777777" w:rsid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При отговор “ДА“, моля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D7425C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посочете подробности.</w:t>
            </w:r>
          </w:p>
          <w:p w14:paraId="63553D61" w14:textId="77777777" w:rsidR="003611E6" w:rsidRPr="003611E6" w:rsidRDefault="003611E6" w:rsidP="003611E6">
            <w:pP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14:paraId="065CB435" w14:textId="3D51467B" w:rsidR="002256C7" w:rsidRDefault="002256C7" w:rsidP="001824DB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63041500" w14:textId="07266D07" w:rsidR="00E71126" w:rsidRPr="00E71126" w:rsidRDefault="00E71126" w:rsidP="00901693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Първоначалната оценка се представя на DPO. Той я анализира, като на база дадените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отговори, решава дали е необходимо извършването на пълна DPIA.</w:t>
      </w:r>
    </w:p>
    <w:p w14:paraId="3371A585" w14:textId="4E0CCAD6" w:rsidR="00E71126" w:rsidRPr="00E71126" w:rsidRDefault="00E71126" w:rsidP="00901693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Дори при наличието на само един положителен отговор, може да възникне висока опасност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за правата и свободите на субектите. В такива случаи, според конкретния контекст на обработката,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DPO следва да прецени дали е необходимо да се извърши пълна DPIA. В случай, че на два или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повече от въпросите в предварителната оценка е отговорено с „ДА“, DPO изисква задължително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извършване на пълна DPIA. При вземането на това решение DPO може да поиска допълнително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съдействие от други служители и/или отдели в Университета.</w:t>
      </w:r>
    </w:p>
    <w:p w14:paraId="7209A284" w14:textId="242C49FF" w:rsidR="00E71126" w:rsidRPr="00E71126" w:rsidRDefault="00E71126" w:rsidP="00901693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Конкретна операция по обработването може да отговаря на горепосочените критерии и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въпреки това да не се изисква извършването на DPIA, поради това, че не съществува вероятност да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породи висок риск за правата на субектите. В този случай DPO на организацията следва да обоснове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 документира, причините, поради които не се извършва DPIA. Така изготвения анализ следва да се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утвърди от Ректора на ТрУ.</w:t>
      </w:r>
    </w:p>
    <w:p w14:paraId="55A695DC" w14:textId="77777777" w:rsidR="00E71126" w:rsidRDefault="00E71126" w:rsidP="001824DB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1883C0C9" w14:textId="77777777" w:rsidR="00E71126" w:rsidRPr="00E71126" w:rsidRDefault="001824DB" w:rsidP="00E71126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5.2.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E71126" w:rsidRPr="00E71126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ИЗВЪРШВАНЕ НА ПЪЛНА DPIA</w:t>
      </w:r>
    </w:p>
    <w:p w14:paraId="3C819F74" w14:textId="1ED57E62" w:rsidR="00E71126" w:rsidRPr="00E71126" w:rsidRDefault="00E71126" w:rsidP="00901693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DPIA се извършва преди започване на процеса по обработване на ЛД. Извършването на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DPIA следва да започне на възможно най-ранен етап от проектирането на операцията по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обработване, дори ако някои от операциите по обработване все още не са известни. DPIA следва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редовно да бъде актуализирана.</w:t>
      </w:r>
    </w:p>
    <w:p w14:paraId="593F201E" w14:textId="4447F7BC" w:rsidR="00D55E4E" w:rsidRPr="00D55E4E" w:rsidRDefault="00E71126" w:rsidP="00901693">
      <w:pPr>
        <w:ind w:left="284" w:firstLine="567"/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Изготвянето на пълна DPIA се извършва от работната група по защита на ЛД, DPO и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ръководителя на отдела, иницииращ внедряването на новия процес или промяна на вече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съществуващия такъв.</w:t>
      </w:r>
      <w:r w:rsidR="001824DB" w:rsidRPr="00E71126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cr/>
      </w:r>
    </w:p>
    <w:p w14:paraId="3C79D578" w14:textId="77777777" w:rsidR="00E71126" w:rsidRPr="002D3400" w:rsidRDefault="001824DB" w:rsidP="002D3400">
      <w:pPr>
        <w:ind w:left="284" w:firstLine="283"/>
        <w:rPr>
          <w:rStyle w:val="hps"/>
          <w:rFonts w:ascii="Times New Roman" w:hAnsi="Times New Roman" w:cs="Times New Roman"/>
          <w:b/>
          <w:sz w:val="26"/>
          <w:szCs w:val="26"/>
        </w:rPr>
      </w:pPr>
      <w:r w:rsidRPr="00901693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lastRenderedPageBreak/>
        <w:t>5.3.</w:t>
      </w:r>
      <w:r w:rsidR="001313A9" w:rsidRPr="00901693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E71126" w:rsidRPr="00901693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МЕТОДИКА ЗА ИЗЧИСЛЯВАНЕ НА ОЦЕНКАТА НА ВЪЗДЕЙСТВИЕТО НА РИСКА</w:t>
      </w:r>
    </w:p>
    <w:p w14:paraId="6042C43B" w14:textId="6FFF9033" w:rsidR="00E71126" w:rsidRPr="00E71126" w:rsidRDefault="00E71126" w:rsidP="00901693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 въздействието на риска се пресмята за всеки вид ЛД и съответно за всяка заплаха за</w:t>
      </w:r>
      <w:r w:rsidR="0090169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съответния актив.</w:t>
      </w:r>
    </w:p>
    <w:p w14:paraId="4C65F31C" w14:textId="7C6EEA70" w:rsidR="009F1E47" w:rsidRPr="002256C7" w:rsidRDefault="00E71126" w:rsidP="00203491">
      <w:pPr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Изчислението на въздействието на риска включва следните компоненти</w:t>
      </w:r>
    </w:p>
    <w:p w14:paraId="5E4EA350" w14:textId="468EB7A6" w:rsidR="00255CBC" w:rsidRDefault="00255CBC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  <w:gridCol w:w="2694"/>
      </w:tblGrid>
      <w:tr w:rsidR="00E71126" w:rsidRPr="003D7238" w14:paraId="2EA92E97" w14:textId="77777777" w:rsidTr="000256D6">
        <w:trPr>
          <w:trHeight w:val="751"/>
        </w:trPr>
        <w:tc>
          <w:tcPr>
            <w:tcW w:w="5244" w:type="dxa"/>
          </w:tcPr>
          <w:p w14:paraId="23B914EA" w14:textId="3B2C373E" w:rsidR="00E71126" w:rsidRPr="003D7238" w:rsidRDefault="00604500" w:rsidP="00604500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КОМПОНЕНТИ НА ВЪЗДЕЙСТВИЕТО НА РИСКА</w:t>
            </w:r>
          </w:p>
        </w:tc>
        <w:tc>
          <w:tcPr>
            <w:tcW w:w="2694" w:type="dxa"/>
          </w:tcPr>
          <w:p w14:paraId="0E640890" w14:textId="20996E51" w:rsidR="00E71126" w:rsidRPr="003D7238" w:rsidRDefault="00604500" w:rsidP="00604500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Стойност на оценката</w:t>
            </w:r>
          </w:p>
        </w:tc>
      </w:tr>
      <w:tr w:rsidR="00E71126" w14:paraId="1389F74E" w14:textId="77777777" w:rsidTr="000256D6">
        <w:trPr>
          <w:trHeight w:val="407"/>
        </w:trPr>
        <w:tc>
          <w:tcPr>
            <w:tcW w:w="5244" w:type="dxa"/>
          </w:tcPr>
          <w:p w14:paraId="2B6D2C20" w14:textId="06712752" w:rsidR="00E71126" w:rsidRPr="003D7238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Оценка на правно съответствие – ПС</w:t>
            </w:r>
          </w:p>
        </w:tc>
        <w:tc>
          <w:tcPr>
            <w:tcW w:w="2694" w:type="dxa"/>
          </w:tcPr>
          <w:p w14:paraId="1642963A" w14:textId="04584C2B" w:rsidR="00E71126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1 -5 (1 най-висока)</w:t>
            </w:r>
          </w:p>
        </w:tc>
      </w:tr>
      <w:tr w:rsidR="00E71126" w14:paraId="4BD2D080" w14:textId="77777777" w:rsidTr="000256D6">
        <w:trPr>
          <w:trHeight w:val="414"/>
        </w:trPr>
        <w:tc>
          <w:tcPr>
            <w:tcW w:w="5244" w:type="dxa"/>
          </w:tcPr>
          <w:p w14:paraId="2EE122B6" w14:textId="1786416B" w:rsidR="00E71126" w:rsidRPr="003D7238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Потребителски контроли/конфиденциалност</w:t>
            </w:r>
          </w:p>
        </w:tc>
        <w:tc>
          <w:tcPr>
            <w:tcW w:w="2694" w:type="dxa"/>
          </w:tcPr>
          <w:p w14:paraId="0DFD5C83" w14:textId="2294E388" w:rsidR="00E71126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604500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1 -5 (1 най-висока)</w:t>
            </w:r>
          </w:p>
        </w:tc>
      </w:tr>
      <w:tr w:rsidR="00E71126" w14:paraId="0C8BD2C8" w14:textId="77777777" w:rsidTr="000256D6">
        <w:trPr>
          <w:trHeight w:val="419"/>
        </w:trPr>
        <w:tc>
          <w:tcPr>
            <w:tcW w:w="5244" w:type="dxa"/>
          </w:tcPr>
          <w:p w14:paraId="7195A034" w14:textId="669768EA" w:rsidR="00E71126" w:rsidRPr="003D7238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Системни контроли/цялостна</w:t>
            </w:r>
          </w:p>
        </w:tc>
        <w:tc>
          <w:tcPr>
            <w:tcW w:w="2694" w:type="dxa"/>
          </w:tcPr>
          <w:p w14:paraId="142FE5B3" w14:textId="1EAB7840" w:rsidR="00E71126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604500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1 -5 (1 най-висока)</w:t>
            </w:r>
          </w:p>
        </w:tc>
      </w:tr>
      <w:tr w:rsidR="00E71126" w14:paraId="3819A301" w14:textId="77777777" w:rsidTr="000256D6">
        <w:trPr>
          <w:trHeight w:val="411"/>
        </w:trPr>
        <w:tc>
          <w:tcPr>
            <w:tcW w:w="5244" w:type="dxa"/>
          </w:tcPr>
          <w:p w14:paraId="6B21F275" w14:textId="752A8217" w:rsidR="00E71126" w:rsidRPr="00604500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IT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контроли/наличност</w:t>
            </w:r>
          </w:p>
        </w:tc>
        <w:tc>
          <w:tcPr>
            <w:tcW w:w="2694" w:type="dxa"/>
          </w:tcPr>
          <w:p w14:paraId="105F6E5D" w14:textId="040128B6" w:rsidR="00E71126" w:rsidRDefault="00604500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604500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1 -5 (1 най-висока)</w:t>
            </w:r>
          </w:p>
        </w:tc>
      </w:tr>
    </w:tbl>
    <w:p w14:paraId="6C283CEF" w14:textId="3324CCD4" w:rsidR="00E71126" w:rsidRDefault="00E71126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1BB4254A" w14:textId="77777777" w:rsidR="00E71126" w:rsidRPr="00E71126" w:rsidRDefault="00E71126" w:rsidP="002D3400">
      <w:pPr>
        <w:pStyle w:val="ListParagraph"/>
        <w:widowControl w:val="0"/>
        <w:tabs>
          <w:tab w:val="left" w:pos="1127"/>
        </w:tabs>
        <w:autoSpaceDE w:val="0"/>
        <w:autoSpaceDN w:val="0"/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Изчисление на отделните компоненти на риска</w:t>
      </w:r>
    </w:p>
    <w:p w14:paraId="39DA1B79" w14:textId="7A6E556F" w:rsidR="00E71126" w:rsidRPr="002D3400" w:rsidRDefault="00E71126" w:rsidP="002D3400">
      <w:pPr>
        <w:pStyle w:val="ListParagraph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ind w:left="284" w:firstLine="84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 на правното състояние – извършва се от Длъжностно лице по защита на ЛД. Като по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негова преценка може да бъде съгласувано с правен консултант. Оценката се извършва на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база качествен анализ на възможността за гарантиране правата на субектите според GDPR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в комбинация с практиките по споделяне на ЛД извън територията на ЕИП. Оценката варира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в интервала от 1 до 5 като 1 е данни с най-високо потенциално негативно въздействие върху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Организацията, а с оценка 5 са данни без въздействие върху нея.</w:t>
      </w:r>
    </w:p>
    <w:p w14:paraId="785EC568" w14:textId="481AC5BB" w:rsidR="00E71126" w:rsidRPr="002D3400" w:rsidRDefault="00E71126" w:rsidP="00A4799B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left="284" w:firstLine="85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Потребителски контроли/конфиденциалност – оценката на всеки един компонент се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 на базата на минимално въведения брой добри практики в областта на защитата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на информацията, потребителския достъп, осигуряването на конфиденциалност, цялостност,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наличност с различни технологични инструменти. Контролите се оценяват по метод „въведен</w:t>
      </w:r>
      <w:r w:rsidR="002D3400" w:rsidRPr="002D3400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(1)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>/</w:t>
      </w:r>
      <w:proofErr w:type="spellStart"/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>невъведен</w:t>
      </w:r>
      <w:proofErr w:type="spellEnd"/>
      <w:r w:rsidRPr="002D3400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(5)“. Общата оценка на крайния резултат е от 1 до 5 (1 най-висока).</w:t>
      </w:r>
    </w:p>
    <w:p w14:paraId="582F7CE6" w14:textId="17D2CA72" w:rsidR="00E71126" w:rsidRPr="00A4799B" w:rsidRDefault="00E71126" w:rsidP="00A4799B">
      <w:pPr>
        <w:pStyle w:val="ListParagraph"/>
        <w:widowControl w:val="0"/>
        <w:numPr>
          <w:ilvl w:val="0"/>
          <w:numId w:val="44"/>
        </w:numPr>
        <w:autoSpaceDE w:val="0"/>
        <w:autoSpaceDN w:val="0"/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Системни контроли/цялостност - оценката на всеки един компонент се извършва на базата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на минимално въведения брой добри практики в областта на защитата на информацията,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потребителския достъп, осигуряването на конфиденциалност, цялостност, наличност с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различни технологични инструменти. Контролите се оценяват по метод „въведен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(1)/</w:t>
      </w:r>
      <w:proofErr w:type="spellStart"/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невъведен</w:t>
      </w:r>
      <w:proofErr w:type="spellEnd"/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(5)“. Общата оценка на крайния резултат е от 1 до 5 (1 най-висока).</w:t>
      </w:r>
    </w:p>
    <w:p w14:paraId="549AE15F" w14:textId="5D5D2789" w:rsidR="00E71126" w:rsidRPr="00A4799B" w:rsidRDefault="00E71126" w:rsidP="00A4799B">
      <w:pPr>
        <w:pStyle w:val="ListParagraph"/>
        <w:widowControl w:val="0"/>
        <w:numPr>
          <w:ilvl w:val="0"/>
          <w:numId w:val="44"/>
        </w:numPr>
        <w:tabs>
          <w:tab w:val="left" w:pos="1127"/>
        </w:tabs>
        <w:autoSpaceDE w:val="0"/>
        <w:autoSpaceDN w:val="0"/>
        <w:ind w:left="284" w:firstLine="992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IT контроли - оценката на всеки един компонент се извършва на базата на минимално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въведения брой добри практики в областта на защитата на информацията, потребителския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достъп, осигуряването на конфиденциалност, цялостност, наличност с различни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технологични инструменти. Контролите се оценяват по метод „въведен (1)/</w:t>
      </w:r>
      <w:proofErr w:type="spellStart"/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невъведен</w:t>
      </w:r>
      <w:proofErr w:type="spellEnd"/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(5)“.</w:t>
      </w:r>
      <w:r w:rsidR="00A4799B" w:rsidRP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A4799B">
        <w:rPr>
          <w:rStyle w:val="hps"/>
          <w:rFonts w:ascii="Times New Roman" w:hAnsi="Times New Roman" w:cs="Times New Roman"/>
          <w:sz w:val="26"/>
          <w:szCs w:val="26"/>
          <w:lang w:val="bg-BG"/>
        </w:rPr>
        <w:t>Общата оценка на крайния резултат е от 1 до 5 (1 най-висока).</w:t>
      </w:r>
    </w:p>
    <w:p w14:paraId="210371CE" w14:textId="1BA84E40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Стойността на риска (</w:t>
      </w:r>
      <w:proofErr w:type="spellStart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СтР</w:t>
      </w:r>
      <w:proofErr w:type="spellEnd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) се оценява по следния математически модел, като сбор на четирите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характеристики (</w:t>
      </w:r>
      <w:proofErr w:type="spellStart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СбХА</w:t>
      </w:r>
      <w:proofErr w:type="spellEnd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).</w:t>
      </w:r>
    </w:p>
    <w:p w14:paraId="394BD41F" w14:textId="0D3EE501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СбХА</w:t>
      </w:r>
      <w:proofErr w:type="spellEnd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= К(стойност от 1 до 5) + Ц(стойност от 1 до 5) + Н(стойност от 1 до 5) + ПС(стойност от 1 до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5)/4</w:t>
      </w:r>
    </w:p>
    <w:p w14:paraId="29CF9699" w14:textId="748FC5F7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Полученият сбор </w:t>
      </w:r>
      <w:proofErr w:type="spellStart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СбХА</w:t>
      </w:r>
      <w:proofErr w:type="spellEnd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като стойности от 1(най-високо) до 5 се разделя на 4, като полученият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резултат се привежда до цяло число – най-малко 1, най-голямо 5.</w:t>
      </w:r>
    </w:p>
    <w:p w14:paraId="690D4315" w14:textId="1BD13683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Рискът за ЛД се категоризира съобразно оценката, както следва:</w:t>
      </w:r>
    </w:p>
    <w:p w14:paraId="5FB4F646" w14:textId="3572E22C" w:rsidR="00E71126" w:rsidRDefault="00E71126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189"/>
        <w:gridCol w:w="2764"/>
      </w:tblGrid>
      <w:tr w:rsidR="00E71126" w:rsidRPr="00C828E4" w14:paraId="5808DE30" w14:textId="77777777" w:rsidTr="00C828E4">
        <w:tc>
          <w:tcPr>
            <w:tcW w:w="3189" w:type="dxa"/>
          </w:tcPr>
          <w:p w14:paraId="456C187C" w14:textId="4256A947" w:rsidR="00E71126" w:rsidRPr="00C828E4" w:rsidRDefault="00C828E4" w:rsidP="00C828E4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КАТЕГОРИЯ</w:t>
            </w:r>
          </w:p>
        </w:tc>
        <w:tc>
          <w:tcPr>
            <w:tcW w:w="2764" w:type="dxa"/>
          </w:tcPr>
          <w:p w14:paraId="5EF42A55" w14:textId="394E56C2" w:rsidR="00E71126" w:rsidRPr="00C828E4" w:rsidRDefault="00C828E4" w:rsidP="00C828E4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ОЦЕНКА</w:t>
            </w:r>
          </w:p>
        </w:tc>
      </w:tr>
      <w:tr w:rsidR="00E71126" w14:paraId="281415FF" w14:textId="77777777" w:rsidTr="00C828E4">
        <w:tc>
          <w:tcPr>
            <w:tcW w:w="3189" w:type="dxa"/>
          </w:tcPr>
          <w:p w14:paraId="6740B313" w14:textId="69A3212A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Много висок риск</w:t>
            </w:r>
          </w:p>
        </w:tc>
        <w:tc>
          <w:tcPr>
            <w:tcW w:w="2764" w:type="dxa"/>
          </w:tcPr>
          <w:p w14:paraId="3822BF5D" w14:textId="2AF506AE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</w:tr>
      <w:tr w:rsidR="00E71126" w14:paraId="45487D7D" w14:textId="77777777" w:rsidTr="00C828E4">
        <w:tc>
          <w:tcPr>
            <w:tcW w:w="3189" w:type="dxa"/>
          </w:tcPr>
          <w:p w14:paraId="259CAEDB" w14:textId="753DB090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Висок риск</w:t>
            </w:r>
          </w:p>
        </w:tc>
        <w:tc>
          <w:tcPr>
            <w:tcW w:w="2764" w:type="dxa"/>
          </w:tcPr>
          <w:p w14:paraId="06ECCB86" w14:textId="764CBB27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</w:tr>
      <w:tr w:rsidR="00E71126" w14:paraId="76B2B539" w14:textId="77777777" w:rsidTr="00C828E4">
        <w:tc>
          <w:tcPr>
            <w:tcW w:w="3189" w:type="dxa"/>
          </w:tcPr>
          <w:p w14:paraId="09030BE4" w14:textId="073865E9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Среден риск</w:t>
            </w:r>
          </w:p>
        </w:tc>
        <w:tc>
          <w:tcPr>
            <w:tcW w:w="2764" w:type="dxa"/>
          </w:tcPr>
          <w:p w14:paraId="54EBD762" w14:textId="0BAE2245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</w:tr>
      <w:tr w:rsidR="00E71126" w14:paraId="7011A6F7" w14:textId="77777777" w:rsidTr="00C828E4">
        <w:tc>
          <w:tcPr>
            <w:tcW w:w="3189" w:type="dxa"/>
          </w:tcPr>
          <w:p w14:paraId="40DF37C1" w14:textId="3B21259C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Нисък риск</w:t>
            </w:r>
          </w:p>
        </w:tc>
        <w:tc>
          <w:tcPr>
            <w:tcW w:w="2764" w:type="dxa"/>
          </w:tcPr>
          <w:p w14:paraId="4E6ABE41" w14:textId="0DF9CBE4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</w:tr>
      <w:tr w:rsidR="00E71126" w14:paraId="23029891" w14:textId="77777777" w:rsidTr="00C828E4">
        <w:tc>
          <w:tcPr>
            <w:tcW w:w="3189" w:type="dxa"/>
          </w:tcPr>
          <w:p w14:paraId="703F4C63" w14:textId="0BA454AD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Много нисък риск</w:t>
            </w:r>
          </w:p>
        </w:tc>
        <w:tc>
          <w:tcPr>
            <w:tcW w:w="2764" w:type="dxa"/>
          </w:tcPr>
          <w:p w14:paraId="47625924" w14:textId="77ACA7F6" w:rsidR="00E71126" w:rsidRDefault="00C828E4" w:rsidP="001824DB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</w:tr>
    </w:tbl>
    <w:p w14:paraId="135B80BD" w14:textId="77777777" w:rsidR="00E71126" w:rsidRPr="00E71126" w:rsidRDefault="00E71126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7388EF8C" w14:textId="218369B8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Всяка изчислена степен на въздействие </w:t>
      </w:r>
      <w:bookmarkStart w:id="0" w:name="_GoBack"/>
      <w:bookmarkEnd w:id="0"/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на риска, по-малка или равна на 3, се изследва и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анализира незабавно.</w:t>
      </w:r>
    </w:p>
    <w:p w14:paraId="1D6FDDE0" w14:textId="7F890B08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След пресмятане степента на въздействие на риска за ЛД, Университетът идентифицира и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обръща специално внимание на тези ЛД, за които е идентифициран много висок или висок риск.</w:t>
      </w:r>
    </w:p>
    <w:p w14:paraId="6AE2AC73" w14:textId="0AD25AB2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Оценката на риска позволява да бъдат съсредоточени противодействащите защити върху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заплахите, асоциирани с ЛД с най-висока степен на въздействие на риска (най-малко изчислената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степен). Когато коригиращото действие бъде определено и приложено, се извършва ново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изчисляване на степента на въздействие на риска.</w:t>
      </w:r>
    </w:p>
    <w:p w14:paraId="6FA80C07" w14:textId="1D3D162B" w:rsid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Статусът на ЛД преди коригиращото действие е наречен „Начално въздействие на риска“, 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статусът след коригиращите действия е наречен „Остатъчно въздействие на риска“.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cr/>
      </w:r>
    </w:p>
    <w:p w14:paraId="205B9CBA" w14:textId="7A67B59A" w:rsid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Дефиниции на различните степени на риск:</w:t>
      </w:r>
    </w:p>
    <w:p w14:paraId="77AEDEA9" w14:textId="0189887E" w:rsidR="00E71126" w:rsidRDefault="00E71126" w:rsidP="00E71126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559"/>
        <w:gridCol w:w="6516"/>
      </w:tblGrid>
      <w:tr w:rsidR="00E0614F" w14:paraId="1C9064BA" w14:textId="77777777" w:rsidTr="00A211FF">
        <w:tc>
          <w:tcPr>
            <w:tcW w:w="1413" w:type="dxa"/>
          </w:tcPr>
          <w:p w14:paraId="5ED86D6E" w14:textId="7557CC7E" w:rsidR="00E71126" w:rsidRPr="00E0614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Ниво</w:t>
            </w:r>
          </w:p>
        </w:tc>
        <w:tc>
          <w:tcPr>
            <w:tcW w:w="1559" w:type="dxa"/>
          </w:tcPr>
          <w:p w14:paraId="2FEB0FC5" w14:textId="6FFFDEB9" w:rsidR="00E71126" w:rsidRPr="00E0614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Оценъчна стойност</w:t>
            </w:r>
          </w:p>
        </w:tc>
        <w:tc>
          <w:tcPr>
            <w:tcW w:w="6516" w:type="dxa"/>
          </w:tcPr>
          <w:p w14:paraId="67C8C73D" w14:textId="5794D44E" w:rsidR="00E71126" w:rsidRPr="00E0614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Определение </w:t>
            </w:r>
          </w:p>
        </w:tc>
      </w:tr>
      <w:tr w:rsidR="00E0614F" w14:paraId="33F62E3A" w14:textId="77777777" w:rsidTr="00A211FF">
        <w:tc>
          <w:tcPr>
            <w:tcW w:w="1413" w:type="dxa"/>
          </w:tcPr>
          <w:p w14:paraId="6A74E6D2" w14:textId="1B4B0857" w:rsidR="00E71126" w:rsidRPr="00A211FF" w:rsidRDefault="00A211FF" w:rsidP="00E71126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Много високо</w:t>
            </w:r>
          </w:p>
        </w:tc>
        <w:tc>
          <w:tcPr>
            <w:tcW w:w="1559" w:type="dxa"/>
          </w:tcPr>
          <w:p w14:paraId="21C7E96C" w14:textId="4F3DB3A7" w:rsidR="00E71126" w:rsidRPr="00A211F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</w:t>
            </w:r>
          </w:p>
        </w:tc>
        <w:tc>
          <w:tcPr>
            <w:tcW w:w="6516" w:type="dxa"/>
          </w:tcPr>
          <w:p w14:paraId="49802F6E" w14:textId="085ABCCA" w:rsidR="00A211FF" w:rsidRPr="00A211FF" w:rsidRDefault="00A211FF" w:rsidP="00A211F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Обработката на този тип лични данни е съпроводена с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неприемлив</w:t>
            </w: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риск, поради спецификата на дейностите,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мястото на съхранение, липсата на контролни механизми,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невъзможност да се гренадира целостта им или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невъзможността да се осигурят правата на субектите</w:t>
            </w:r>
          </w:p>
          <w:p w14:paraId="0D5293A1" w14:textId="55A86F78" w:rsidR="00E71126" w:rsidRDefault="00A211FF" w:rsidP="00A211F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собственици на данните.</w:t>
            </w:r>
          </w:p>
        </w:tc>
      </w:tr>
      <w:tr w:rsidR="00E0614F" w14:paraId="39A4CEA0" w14:textId="77777777" w:rsidTr="00A211FF">
        <w:tc>
          <w:tcPr>
            <w:tcW w:w="1413" w:type="dxa"/>
          </w:tcPr>
          <w:p w14:paraId="06583D64" w14:textId="235B6B19" w:rsidR="00E71126" w:rsidRPr="00A211FF" w:rsidRDefault="00A211FF" w:rsidP="00E71126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Високо </w:t>
            </w:r>
          </w:p>
        </w:tc>
        <w:tc>
          <w:tcPr>
            <w:tcW w:w="1559" w:type="dxa"/>
          </w:tcPr>
          <w:p w14:paraId="0237E266" w14:textId="440997AA" w:rsidR="00E71126" w:rsidRPr="00A211F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2</w:t>
            </w:r>
          </w:p>
        </w:tc>
        <w:tc>
          <w:tcPr>
            <w:tcW w:w="6516" w:type="dxa"/>
          </w:tcPr>
          <w:p w14:paraId="34F517F4" w14:textId="04847AC7" w:rsidR="00E71126" w:rsidRDefault="00EA10C7" w:rsidP="00EA10C7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A10C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Обработката на този тип лични данни е съпроводена с </w:t>
            </w:r>
            <w:r w:rsidRPr="00EA10C7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много висок</w:t>
            </w:r>
            <w:r w:rsidRPr="00EA10C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риск, поради спецификата на дейностите, мястото на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A10C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съхранение, липсата на контролни механизми, невъзможност да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A10C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се гренадира целостта им или невъзможността да се осигурят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A10C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правата на субектите собственици на данните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</w:tr>
      <w:tr w:rsidR="00E0614F" w14:paraId="0D58ED61" w14:textId="77777777" w:rsidTr="00A211FF">
        <w:tc>
          <w:tcPr>
            <w:tcW w:w="1413" w:type="dxa"/>
          </w:tcPr>
          <w:p w14:paraId="02979896" w14:textId="38A94AEB" w:rsidR="00E71126" w:rsidRPr="00A211FF" w:rsidRDefault="00A211FF" w:rsidP="00E71126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Средно </w:t>
            </w:r>
          </w:p>
        </w:tc>
        <w:tc>
          <w:tcPr>
            <w:tcW w:w="1559" w:type="dxa"/>
          </w:tcPr>
          <w:p w14:paraId="0CC55869" w14:textId="366B61B3" w:rsidR="00E71126" w:rsidRPr="00A211F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3</w:t>
            </w:r>
          </w:p>
        </w:tc>
        <w:tc>
          <w:tcPr>
            <w:tcW w:w="6516" w:type="dxa"/>
          </w:tcPr>
          <w:p w14:paraId="09DD642E" w14:textId="59E53DEA" w:rsidR="00E71126" w:rsidRDefault="00EE37D7" w:rsidP="00EE37D7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Обработката на този тип данни е съпроводена с </w:t>
            </w:r>
            <w:r w:rsidRPr="00EE37D7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приемливо ниво на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риска, поради наличието на възможности за контрол,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гарантирани са права на субектите, данните са изцяло или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частично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структурирани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</w:tr>
      <w:tr w:rsidR="00E0614F" w14:paraId="01F69A2F" w14:textId="77777777" w:rsidTr="00A211FF">
        <w:tc>
          <w:tcPr>
            <w:tcW w:w="1413" w:type="dxa"/>
          </w:tcPr>
          <w:p w14:paraId="2797610F" w14:textId="1E304EF2" w:rsidR="00E71126" w:rsidRPr="00A211FF" w:rsidRDefault="00A211FF" w:rsidP="00E71126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 xml:space="preserve">Ниско </w:t>
            </w:r>
          </w:p>
        </w:tc>
        <w:tc>
          <w:tcPr>
            <w:tcW w:w="1559" w:type="dxa"/>
          </w:tcPr>
          <w:p w14:paraId="75733F95" w14:textId="072E6CA1" w:rsidR="00E71126" w:rsidRPr="00A211F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4</w:t>
            </w:r>
          </w:p>
        </w:tc>
        <w:tc>
          <w:tcPr>
            <w:tcW w:w="6516" w:type="dxa"/>
          </w:tcPr>
          <w:p w14:paraId="615B2DBD" w14:textId="785E1B01" w:rsidR="00E71126" w:rsidRDefault="00EE37D7" w:rsidP="00EE37D7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Обработката на този тип данни е съпроводена с ниско ниво на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риска, поради наличието на възможности за контрол,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гарантирани са права на субектите, въведени са механизми за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мониторинг и </w:t>
            </w:r>
            <w:proofErr w:type="spellStart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репортинг</w:t>
            </w:r>
            <w:proofErr w:type="spellEnd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, данните са изцяло структурирани,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има въведени механизми за </w:t>
            </w:r>
            <w:proofErr w:type="spellStart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анонимизация</w:t>
            </w:r>
            <w:proofErr w:type="spellEnd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, криптиране или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псевдонимизация</w:t>
            </w:r>
            <w:proofErr w:type="spellEnd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</w:tr>
      <w:tr w:rsidR="00E0614F" w14:paraId="03287657" w14:textId="77777777" w:rsidTr="00A211FF">
        <w:tc>
          <w:tcPr>
            <w:tcW w:w="1413" w:type="dxa"/>
          </w:tcPr>
          <w:p w14:paraId="6C85AD7A" w14:textId="39686679" w:rsidR="00E71126" w:rsidRPr="00A211FF" w:rsidRDefault="00A211FF" w:rsidP="00E71126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Много ниско</w:t>
            </w:r>
          </w:p>
        </w:tc>
        <w:tc>
          <w:tcPr>
            <w:tcW w:w="1559" w:type="dxa"/>
          </w:tcPr>
          <w:p w14:paraId="5F5D0833" w14:textId="7454C19E" w:rsidR="00E71126" w:rsidRPr="00A211FF" w:rsidRDefault="00E0614F" w:rsidP="00E0614F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jc w:val="center"/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211FF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5</w:t>
            </w:r>
          </w:p>
        </w:tc>
        <w:tc>
          <w:tcPr>
            <w:tcW w:w="6516" w:type="dxa"/>
          </w:tcPr>
          <w:p w14:paraId="0F106612" w14:textId="79A41DF9" w:rsidR="00E71126" w:rsidRDefault="00EE37D7" w:rsidP="00EE37D7">
            <w:pPr>
              <w:pStyle w:val="ListParagraph"/>
              <w:widowControl w:val="0"/>
              <w:tabs>
                <w:tab w:val="left" w:pos="1127"/>
              </w:tabs>
              <w:autoSpaceDE w:val="0"/>
              <w:autoSpaceDN w:val="0"/>
              <w:ind w:left="0"/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Обработката не е съпроводена с рискове за организацията.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Обикновено това са напълно </w:t>
            </w:r>
            <w:proofErr w:type="spellStart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анонимизирани</w:t>
            </w:r>
            <w:proofErr w:type="spellEnd"/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, криптирани данни,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данни за статистика, архивни данни без реална употреба в</w:t>
            </w:r>
            <w:r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EE37D7">
              <w:rPr>
                <w:rStyle w:val="hps"/>
                <w:rFonts w:ascii="Times New Roman" w:hAnsi="Times New Roman" w:cs="Times New Roman"/>
                <w:sz w:val="26"/>
                <w:szCs w:val="26"/>
                <w:lang w:val="bg-BG"/>
              </w:rPr>
              <w:t>ежедневните операции.</w:t>
            </w:r>
          </w:p>
        </w:tc>
      </w:tr>
    </w:tbl>
    <w:p w14:paraId="1445F276" w14:textId="77777777" w:rsidR="00E71126" w:rsidRDefault="00E71126" w:rsidP="00E71126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6A786AF4" w14:textId="2C1EABB9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Идентифицираните заплахи за ЛД, заедно с приложимите контроли, се включват в План за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третиране на риска, който организацията прилага непрекъснато при процесите по управление на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информационната сигурност.</w:t>
      </w:r>
    </w:p>
    <w:p w14:paraId="37EA6FF2" w14:textId="5617B930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Планът за намаляване на риска е документ за координация, определящ действията за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намаляване на неприемливите нива на риска и въвеждане на средства за контрол, необходими за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защита на информацията.</w:t>
      </w:r>
    </w:p>
    <w:p w14:paraId="243D21C6" w14:textId="591E530B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Когато е обективно невъзможно да се намалят рисковете до приемливо ниво, то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Университетът взема решение дали да се добавят повече средства за контрол или тези рискове да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се избягват.</w:t>
      </w:r>
    </w:p>
    <w:p w14:paraId="7C99FE0A" w14:textId="53EA5F24" w:rsidR="00E71126" w:rsidRP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Приемането на риск в противоречие на регулацията GDPR не се допуска и не се разглежда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като възможна опция.</w:t>
      </w:r>
    </w:p>
    <w:p w14:paraId="7E2ACE5E" w14:textId="0815881C" w:rsidR="00E71126" w:rsidRDefault="00E71126" w:rsidP="00A4799B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Управлението на риска за ЛД следва да се разглежда като част от цялостната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информационна сигурност в ТрУ, най-вече заради текущо налаганите механизмите за контрол,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които са предназначени да спират, откриват, ограничават, предотвратяват и възстановяват след</w:t>
      </w:r>
      <w:r w:rsidR="00A4799B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нарушения/инциденти с ЛД, което гарантира свеждането на рисковете за тях до минимум.</w:t>
      </w:r>
    </w:p>
    <w:p w14:paraId="4A00E962" w14:textId="77777777" w:rsidR="00E71126" w:rsidRPr="00E71126" w:rsidRDefault="00E71126" w:rsidP="00E71126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1AAEFACB" w14:textId="582188A0" w:rsidR="001824DB" w:rsidRPr="002256C7" w:rsidRDefault="001824DB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6.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E71126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СПРАВОЧНИ ДОКУМЕНТИ</w:t>
      </w:r>
    </w:p>
    <w:p w14:paraId="56AFEE77" w14:textId="77777777" w:rsidR="00E71126" w:rsidRPr="00E71126" w:rsidRDefault="00E71126" w:rsidP="00A4799B">
      <w:pPr>
        <w:pStyle w:val="ListParagraph"/>
        <w:numPr>
          <w:ilvl w:val="0"/>
          <w:numId w:val="46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GDPR EU679/2016</w:t>
      </w:r>
    </w:p>
    <w:p w14:paraId="365C2E83" w14:textId="6CBD36D9" w:rsidR="00E71126" w:rsidRPr="00E71126" w:rsidRDefault="00E71126" w:rsidP="00A4799B">
      <w:pPr>
        <w:pStyle w:val="ListParagraph"/>
        <w:numPr>
          <w:ilvl w:val="0"/>
          <w:numId w:val="46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ISO/IEC 27001:2013</w:t>
      </w:r>
    </w:p>
    <w:p w14:paraId="097124EB" w14:textId="7FA036D3" w:rsidR="00E71126" w:rsidRPr="00E71126" w:rsidRDefault="00E71126" w:rsidP="00A4799B">
      <w:pPr>
        <w:pStyle w:val="ListParagraph"/>
        <w:numPr>
          <w:ilvl w:val="0"/>
          <w:numId w:val="46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ISO 31000:2009</w:t>
      </w:r>
    </w:p>
    <w:p w14:paraId="650A4134" w14:textId="1F99BB22" w:rsidR="001824DB" w:rsidRPr="002256C7" w:rsidRDefault="00E71126" w:rsidP="00A4799B">
      <w:pPr>
        <w:pStyle w:val="ListParagraph"/>
        <w:numPr>
          <w:ilvl w:val="0"/>
          <w:numId w:val="46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Насоки на работна Група 29</w:t>
      </w:r>
    </w:p>
    <w:p w14:paraId="321FD4CB" w14:textId="77777777" w:rsidR="006B4ECD" w:rsidRDefault="006B4ECD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691E63DC" w14:textId="6385531B" w:rsidR="001824DB" w:rsidRPr="002256C7" w:rsidRDefault="001824DB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7.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E71126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ПРИЛОЖЕНИЯ</w:t>
      </w:r>
    </w:p>
    <w:p w14:paraId="34039D17" w14:textId="076916AB" w:rsidR="004450E3" w:rsidRPr="002256C7" w:rsidRDefault="00E71126" w:rsidP="00A4799B">
      <w:pPr>
        <w:pStyle w:val="ListParagraph"/>
        <w:numPr>
          <w:ilvl w:val="0"/>
          <w:numId w:val="37"/>
        </w:numPr>
        <w:ind w:left="1560" w:hanging="42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E71126">
        <w:rPr>
          <w:rStyle w:val="hps"/>
          <w:rFonts w:ascii="Times New Roman" w:hAnsi="Times New Roman" w:cs="Times New Roman"/>
          <w:sz w:val="26"/>
          <w:szCs w:val="26"/>
          <w:lang w:val="bg-BG"/>
        </w:rPr>
        <w:t>Регистър на обработвани ЛД</w:t>
      </w:r>
    </w:p>
    <w:p w14:paraId="15CF4CF4" w14:textId="77777777" w:rsidR="006B4ECD" w:rsidRDefault="006B4ECD" w:rsidP="004450E3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2AC03C97" w14:textId="77777777" w:rsidR="00C37D73" w:rsidRDefault="00C37D73" w:rsidP="001C2F18">
      <w:pPr>
        <w:pStyle w:val="ListParagraph"/>
        <w:ind w:left="0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01A2B39E" w14:textId="5668BC21" w:rsidR="000C22BE" w:rsidRPr="002256C7" w:rsidRDefault="000C22BE" w:rsidP="001C2F18">
      <w:pPr>
        <w:pStyle w:val="ListParagraph"/>
        <w:ind w:left="0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Настоящата </w:t>
      </w:r>
      <w:r w:rsidR="007B4340">
        <w:rPr>
          <w:rStyle w:val="hps"/>
          <w:rFonts w:ascii="Times New Roman" w:hAnsi="Times New Roman" w:cs="Times New Roman"/>
          <w:sz w:val="26"/>
          <w:szCs w:val="26"/>
          <w:lang w:val="bg-BG"/>
        </w:rPr>
        <w:t>Методология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за оценка на риска при обработ</w:t>
      </w:r>
      <w:r w:rsidR="007B4340">
        <w:rPr>
          <w:rStyle w:val="hps"/>
          <w:rFonts w:ascii="Times New Roman" w:hAnsi="Times New Roman" w:cs="Times New Roman"/>
          <w:sz w:val="26"/>
          <w:szCs w:val="26"/>
          <w:lang w:val="bg-BG"/>
        </w:rPr>
        <w:t>ката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на лични данни е в сила от 25.05.2018 г.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 е актуализирана за последен път на 04.02.2020 г.</w:t>
      </w:r>
    </w:p>
    <w:p w14:paraId="53F1CF0F" w14:textId="4136121F" w:rsidR="004450E3" w:rsidRPr="002256C7" w:rsidRDefault="004450E3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sectPr w:rsidR="004450E3" w:rsidRPr="002256C7" w:rsidSect="00CB1C06">
      <w:headerReference w:type="default" r:id="rId12"/>
      <w:footerReference w:type="default" r:id="rId13"/>
      <w:pgSz w:w="12240" w:h="15840"/>
      <w:pgMar w:top="1134" w:right="1041" w:bottom="720" w:left="1134" w:header="2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0F46" w14:textId="77777777" w:rsidR="007E01AF" w:rsidRDefault="007E01AF" w:rsidP="00A83965">
      <w:r>
        <w:separator/>
      </w:r>
    </w:p>
  </w:endnote>
  <w:endnote w:type="continuationSeparator" w:id="0">
    <w:p w14:paraId="246B70D2" w14:textId="77777777" w:rsidR="007E01AF" w:rsidRDefault="007E01AF" w:rsidP="00A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36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1BA5" w14:textId="7F2CC2A4" w:rsidR="00410775" w:rsidRDefault="00410775">
        <w:pPr>
          <w:pStyle w:val="Footer"/>
          <w:jc w:val="right"/>
        </w:pPr>
        <w:r w:rsidRPr="00410775">
          <w:rPr>
            <w:rFonts w:ascii="Arial Narrow" w:hAnsi="Arial Narrow"/>
            <w:sz w:val="20"/>
            <w:szCs w:val="20"/>
          </w:rPr>
          <w:fldChar w:fldCharType="begin"/>
        </w:r>
        <w:r w:rsidRPr="0041077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10775">
          <w:rPr>
            <w:rFonts w:ascii="Arial Narrow" w:hAnsi="Arial Narrow"/>
            <w:sz w:val="20"/>
            <w:szCs w:val="20"/>
          </w:rPr>
          <w:fldChar w:fldCharType="separate"/>
        </w:r>
        <w:r w:rsidR="00C828E4">
          <w:rPr>
            <w:rFonts w:ascii="Arial Narrow" w:hAnsi="Arial Narrow"/>
            <w:noProof/>
            <w:sz w:val="20"/>
            <w:szCs w:val="20"/>
          </w:rPr>
          <w:t>7</w:t>
        </w:r>
        <w:r w:rsidRPr="00410775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4FD4E74" w14:textId="77777777" w:rsidR="00410775" w:rsidRDefault="00410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348C" w14:textId="77777777" w:rsidR="007E01AF" w:rsidRDefault="007E01AF" w:rsidP="00A83965">
      <w:r>
        <w:separator/>
      </w:r>
    </w:p>
  </w:footnote>
  <w:footnote w:type="continuationSeparator" w:id="0">
    <w:p w14:paraId="71D06728" w14:textId="77777777" w:rsidR="007E01AF" w:rsidRDefault="007E01AF" w:rsidP="00A8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68A7" w14:textId="42203F16" w:rsidR="00820359" w:rsidRDefault="00820359" w:rsidP="00820359">
    <w:pPr>
      <w:pStyle w:val="Header"/>
    </w:pPr>
  </w:p>
  <w:p w14:paraId="18C5BCD1" w14:textId="77777777" w:rsidR="00A83965" w:rsidRPr="00820359" w:rsidRDefault="00A83965" w:rsidP="0082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6D"/>
    <w:multiLevelType w:val="hybridMultilevel"/>
    <w:tmpl w:val="487E878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E3339"/>
    <w:multiLevelType w:val="hybridMultilevel"/>
    <w:tmpl w:val="870416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1037FE"/>
    <w:multiLevelType w:val="hybridMultilevel"/>
    <w:tmpl w:val="550AF786"/>
    <w:lvl w:ilvl="0" w:tplc="4E905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B280B"/>
    <w:multiLevelType w:val="hybridMultilevel"/>
    <w:tmpl w:val="1A022808"/>
    <w:lvl w:ilvl="0" w:tplc="8F121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21692"/>
    <w:multiLevelType w:val="hybridMultilevel"/>
    <w:tmpl w:val="1C181DC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8E6E79"/>
    <w:multiLevelType w:val="hybridMultilevel"/>
    <w:tmpl w:val="E8BE5A6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C760E0"/>
    <w:multiLevelType w:val="hybridMultilevel"/>
    <w:tmpl w:val="40CAE3A0"/>
    <w:lvl w:ilvl="0" w:tplc="F6F00A5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2051B"/>
    <w:multiLevelType w:val="hybridMultilevel"/>
    <w:tmpl w:val="7CDC8C5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4D196B"/>
    <w:multiLevelType w:val="hybridMultilevel"/>
    <w:tmpl w:val="9EB40C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AF486C"/>
    <w:multiLevelType w:val="hybridMultilevel"/>
    <w:tmpl w:val="3136443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2754D2"/>
    <w:multiLevelType w:val="hybridMultilevel"/>
    <w:tmpl w:val="A3AEECBE"/>
    <w:lvl w:ilvl="0" w:tplc="C77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913CF"/>
    <w:multiLevelType w:val="hybridMultilevel"/>
    <w:tmpl w:val="EABCBE7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1B3B"/>
    <w:multiLevelType w:val="hybridMultilevel"/>
    <w:tmpl w:val="DA7C506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155AFA"/>
    <w:multiLevelType w:val="hybridMultilevel"/>
    <w:tmpl w:val="DE5CEF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7A1DB7"/>
    <w:multiLevelType w:val="hybridMultilevel"/>
    <w:tmpl w:val="7BDAB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C239F1"/>
    <w:multiLevelType w:val="hybridMultilevel"/>
    <w:tmpl w:val="FF02AB94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37475D"/>
    <w:multiLevelType w:val="hybridMultilevel"/>
    <w:tmpl w:val="1BDC30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C72BC1"/>
    <w:multiLevelType w:val="hybridMultilevel"/>
    <w:tmpl w:val="15AA785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631BBE"/>
    <w:multiLevelType w:val="hybridMultilevel"/>
    <w:tmpl w:val="9D7E9810"/>
    <w:lvl w:ilvl="0" w:tplc="BD6E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03A24"/>
    <w:multiLevelType w:val="hybridMultilevel"/>
    <w:tmpl w:val="A4D85D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D518E2"/>
    <w:multiLevelType w:val="hybridMultilevel"/>
    <w:tmpl w:val="A0C42E1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072394"/>
    <w:multiLevelType w:val="hybridMultilevel"/>
    <w:tmpl w:val="3A3EB2AE"/>
    <w:lvl w:ilvl="0" w:tplc="D50A645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BB013F"/>
    <w:multiLevelType w:val="hybridMultilevel"/>
    <w:tmpl w:val="4D24F07A"/>
    <w:lvl w:ilvl="0" w:tplc="9E8CE2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13E31E9"/>
    <w:multiLevelType w:val="hybridMultilevel"/>
    <w:tmpl w:val="D87A6FF6"/>
    <w:lvl w:ilvl="0" w:tplc="95683C8A">
      <w:numFmt w:val="bullet"/>
      <w:lvlText w:val="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330F5C"/>
    <w:multiLevelType w:val="hybridMultilevel"/>
    <w:tmpl w:val="785CF2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544E06"/>
    <w:multiLevelType w:val="hybridMultilevel"/>
    <w:tmpl w:val="F32EC5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806752"/>
    <w:multiLevelType w:val="hybridMultilevel"/>
    <w:tmpl w:val="02001FDA"/>
    <w:lvl w:ilvl="0" w:tplc="A99EBA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B4F59A7"/>
    <w:multiLevelType w:val="hybridMultilevel"/>
    <w:tmpl w:val="493E5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B200C"/>
    <w:multiLevelType w:val="hybridMultilevel"/>
    <w:tmpl w:val="43AA3BA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9C497C"/>
    <w:multiLevelType w:val="hybridMultilevel"/>
    <w:tmpl w:val="A78669D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42A1B2A"/>
    <w:multiLevelType w:val="hybridMultilevel"/>
    <w:tmpl w:val="50AE841C"/>
    <w:lvl w:ilvl="0" w:tplc="BCD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6DD3"/>
    <w:multiLevelType w:val="hybridMultilevel"/>
    <w:tmpl w:val="07F229A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F4391"/>
    <w:multiLevelType w:val="hybridMultilevel"/>
    <w:tmpl w:val="9DE27348"/>
    <w:lvl w:ilvl="0" w:tplc="05AA9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D52A21"/>
    <w:multiLevelType w:val="hybridMultilevel"/>
    <w:tmpl w:val="9F727D48"/>
    <w:lvl w:ilvl="0" w:tplc="DD10419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75E5C"/>
    <w:multiLevelType w:val="hybridMultilevel"/>
    <w:tmpl w:val="64CE8AEA"/>
    <w:lvl w:ilvl="0" w:tplc="DEC4B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C16EED"/>
    <w:multiLevelType w:val="hybridMultilevel"/>
    <w:tmpl w:val="5490B3B8"/>
    <w:lvl w:ilvl="0" w:tplc="4E1AAE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31B85"/>
    <w:multiLevelType w:val="hybridMultilevel"/>
    <w:tmpl w:val="012E79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92F47"/>
    <w:multiLevelType w:val="hybridMultilevel"/>
    <w:tmpl w:val="55C49DCE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4263F83"/>
    <w:multiLevelType w:val="multilevel"/>
    <w:tmpl w:val="FE42CB9A"/>
    <w:lvl w:ilvl="0">
      <w:start w:val="1"/>
      <w:numFmt w:val="upperLetter"/>
      <w:lvlText w:val="%1"/>
      <w:lvlJc w:val="left"/>
      <w:pPr>
        <w:ind w:left="1126" w:hanging="1008"/>
      </w:pPr>
      <w:rPr>
        <w:rFonts w:hint="default"/>
        <w:lang w:val="de-AT" w:eastAsia="de-AT" w:bidi="de-AT"/>
      </w:rPr>
    </w:lvl>
    <w:lvl w:ilvl="1">
      <w:start w:val="6"/>
      <w:numFmt w:val="decimal"/>
      <w:lvlText w:val="%1.%2"/>
      <w:lvlJc w:val="left"/>
      <w:pPr>
        <w:ind w:left="1126" w:hanging="1008"/>
      </w:pPr>
      <w:rPr>
        <w:rFonts w:hint="default"/>
        <w:lang w:val="de-AT" w:eastAsia="de-AT" w:bidi="de-AT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hint="default"/>
        <w:sz w:val="28"/>
        <w:szCs w:val="28"/>
        <w:lang w:val="de-AT" w:eastAsia="de-AT" w:bidi="de-AT"/>
      </w:rPr>
    </w:lvl>
    <w:lvl w:ilvl="3">
      <w:start w:val="1"/>
      <w:numFmt w:val="decimal"/>
      <w:lvlText w:val="%1.%2.%3.%4"/>
      <w:lvlJc w:val="left"/>
      <w:pPr>
        <w:ind w:left="1126" w:hanging="1008"/>
      </w:pPr>
      <w:rPr>
        <w:rFonts w:hint="default"/>
        <w:lang w:val="de-AT" w:eastAsia="de-AT" w:bidi="de-AT"/>
      </w:rPr>
    </w:lvl>
    <w:lvl w:ilvl="4">
      <w:start w:val="1"/>
      <w:numFmt w:val="decimal"/>
      <w:lvlText w:val="%1.%2.%3.%4.%5"/>
      <w:lvlJc w:val="left"/>
      <w:pPr>
        <w:ind w:left="1126" w:hanging="10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de-AT" w:eastAsia="de-AT" w:bidi="de-AT"/>
      </w:rPr>
    </w:lvl>
    <w:lvl w:ilvl="5">
      <w:numFmt w:val="bullet"/>
      <w:lvlText w:val="•"/>
      <w:lvlJc w:val="left"/>
      <w:pPr>
        <w:ind w:left="5353" w:hanging="1008"/>
      </w:pPr>
      <w:rPr>
        <w:rFonts w:hint="default"/>
        <w:lang w:val="de-AT" w:eastAsia="de-AT" w:bidi="de-AT"/>
      </w:rPr>
    </w:lvl>
    <w:lvl w:ilvl="6">
      <w:numFmt w:val="bullet"/>
      <w:lvlText w:val="•"/>
      <w:lvlJc w:val="left"/>
      <w:pPr>
        <w:ind w:left="6199" w:hanging="1008"/>
      </w:pPr>
      <w:rPr>
        <w:rFonts w:hint="default"/>
        <w:lang w:val="de-AT" w:eastAsia="de-AT" w:bidi="de-AT"/>
      </w:rPr>
    </w:lvl>
    <w:lvl w:ilvl="7">
      <w:numFmt w:val="bullet"/>
      <w:lvlText w:val="•"/>
      <w:lvlJc w:val="left"/>
      <w:pPr>
        <w:ind w:left="7046" w:hanging="1008"/>
      </w:pPr>
      <w:rPr>
        <w:rFonts w:hint="default"/>
        <w:lang w:val="de-AT" w:eastAsia="de-AT" w:bidi="de-AT"/>
      </w:rPr>
    </w:lvl>
    <w:lvl w:ilvl="8">
      <w:numFmt w:val="bullet"/>
      <w:lvlText w:val="•"/>
      <w:lvlJc w:val="left"/>
      <w:pPr>
        <w:ind w:left="7893" w:hanging="1008"/>
      </w:pPr>
      <w:rPr>
        <w:rFonts w:hint="default"/>
        <w:lang w:val="de-AT" w:eastAsia="de-AT" w:bidi="de-AT"/>
      </w:rPr>
    </w:lvl>
  </w:abstractNum>
  <w:abstractNum w:abstractNumId="39" w15:restartNumberingAfterBreak="0">
    <w:nsid w:val="6E644C70"/>
    <w:multiLevelType w:val="hybridMultilevel"/>
    <w:tmpl w:val="FC6EB69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2C7997"/>
    <w:multiLevelType w:val="hybridMultilevel"/>
    <w:tmpl w:val="CCBA762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792911"/>
    <w:multiLevelType w:val="hybridMultilevel"/>
    <w:tmpl w:val="478058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81399F"/>
    <w:multiLevelType w:val="hybridMultilevel"/>
    <w:tmpl w:val="530A353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561F5A"/>
    <w:multiLevelType w:val="hybridMultilevel"/>
    <w:tmpl w:val="F300F784"/>
    <w:lvl w:ilvl="0" w:tplc="E0F6DE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2DF4751C">
      <w:start w:val="1"/>
      <w:numFmt w:val="lowerLetter"/>
      <w:lvlText w:val="%2."/>
      <w:lvlJc w:val="left"/>
      <w:pPr>
        <w:ind w:left="1636" w:hanging="360"/>
      </w:pPr>
      <w:rPr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C86391"/>
    <w:multiLevelType w:val="hybridMultilevel"/>
    <w:tmpl w:val="018A4B42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8D14B22"/>
    <w:multiLevelType w:val="hybridMultilevel"/>
    <w:tmpl w:val="49140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C4FDE"/>
    <w:multiLevelType w:val="hybridMultilevel"/>
    <w:tmpl w:val="891C7F8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6112DA"/>
    <w:multiLevelType w:val="hybridMultilevel"/>
    <w:tmpl w:val="76EA8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30"/>
  </w:num>
  <w:num w:numId="4">
    <w:abstractNumId w:val="32"/>
  </w:num>
  <w:num w:numId="5">
    <w:abstractNumId w:val="10"/>
  </w:num>
  <w:num w:numId="6">
    <w:abstractNumId w:val="22"/>
  </w:num>
  <w:num w:numId="7">
    <w:abstractNumId w:val="47"/>
  </w:num>
  <w:num w:numId="8">
    <w:abstractNumId w:val="6"/>
  </w:num>
  <w:num w:numId="9">
    <w:abstractNumId w:val="3"/>
  </w:num>
  <w:num w:numId="10">
    <w:abstractNumId w:val="18"/>
  </w:num>
  <w:num w:numId="11">
    <w:abstractNumId w:val="2"/>
  </w:num>
  <w:num w:numId="12">
    <w:abstractNumId w:val="35"/>
  </w:num>
  <w:num w:numId="13">
    <w:abstractNumId w:val="34"/>
  </w:num>
  <w:num w:numId="14">
    <w:abstractNumId w:val="43"/>
  </w:num>
  <w:num w:numId="15">
    <w:abstractNumId w:val="33"/>
  </w:num>
  <w:num w:numId="16">
    <w:abstractNumId w:val="38"/>
  </w:num>
  <w:num w:numId="17">
    <w:abstractNumId w:val="24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  <w:num w:numId="22">
    <w:abstractNumId w:val="21"/>
  </w:num>
  <w:num w:numId="23">
    <w:abstractNumId w:val="0"/>
  </w:num>
  <w:num w:numId="24">
    <w:abstractNumId w:val="20"/>
  </w:num>
  <w:num w:numId="25">
    <w:abstractNumId w:val="42"/>
  </w:num>
  <w:num w:numId="26">
    <w:abstractNumId w:val="5"/>
  </w:num>
  <w:num w:numId="27">
    <w:abstractNumId w:val="37"/>
  </w:num>
  <w:num w:numId="28">
    <w:abstractNumId w:val="4"/>
  </w:num>
  <w:num w:numId="29">
    <w:abstractNumId w:val="29"/>
  </w:num>
  <w:num w:numId="30">
    <w:abstractNumId w:val="1"/>
  </w:num>
  <w:num w:numId="31">
    <w:abstractNumId w:val="44"/>
  </w:num>
  <w:num w:numId="32">
    <w:abstractNumId w:val="14"/>
  </w:num>
  <w:num w:numId="33">
    <w:abstractNumId w:val="15"/>
  </w:num>
  <w:num w:numId="34">
    <w:abstractNumId w:val="8"/>
  </w:num>
  <w:num w:numId="35">
    <w:abstractNumId w:val="46"/>
  </w:num>
  <w:num w:numId="36">
    <w:abstractNumId w:val="28"/>
  </w:num>
  <w:num w:numId="37">
    <w:abstractNumId w:val="39"/>
  </w:num>
  <w:num w:numId="38">
    <w:abstractNumId w:val="9"/>
  </w:num>
  <w:num w:numId="39">
    <w:abstractNumId w:val="40"/>
  </w:num>
  <w:num w:numId="40">
    <w:abstractNumId w:val="31"/>
  </w:num>
  <w:num w:numId="41">
    <w:abstractNumId w:val="23"/>
  </w:num>
  <w:num w:numId="42">
    <w:abstractNumId w:val="41"/>
  </w:num>
  <w:num w:numId="43">
    <w:abstractNumId w:val="11"/>
  </w:num>
  <w:num w:numId="44">
    <w:abstractNumId w:val="12"/>
  </w:num>
  <w:num w:numId="45">
    <w:abstractNumId w:val="25"/>
  </w:num>
  <w:num w:numId="46">
    <w:abstractNumId w:val="7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5"/>
    <w:rsid w:val="00003C9A"/>
    <w:rsid w:val="0000442F"/>
    <w:rsid w:val="000051E7"/>
    <w:rsid w:val="0001085B"/>
    <w:rsid w:val="00011862"/>
    <w:rsid w:val="000212E8"/>
    <w:rsid w:val="000256D6"/>
    <w:rsid w:val="00036C57"/>
    <w:rsid w:val="00043BEE"/>
    <w:rsid w:val="00082AB6"/>
    <w:rsid w:val="00093F9D"/>
    <w:rsid w:val="000A461C"/>
    <w:rsid w:val="000A54A0"/>
    <w:rsid w:val="000A6743"/>
    <w:rsid w:val="000B0018"/>
    <w:rsid w:val="000B1DD9"/>
    <w:rsid w:val="000B2A3E"/>
    <w:rsid w:val="000B715F"/>
    <w:rsid w:val="000C1AA9"/>
    <w:rsid w:val="000C22BE"/>
    <w:rsid w:val="000E0E4B"/>
    <w:rsid w:val="000E1D4B"/>
    <w:rsid w:val="000E6C82"/>
    <w:rsid w:val="0010228C"/>
    <w:rsid w:val="00106EFE"/>
    <w:rsid w:val="001126D1"/>
    <w:rsid w:val="001253A7"/>
    <w:rsid w:val="0013124F"/>
    <w:rsid w:val="001313A9"/>
    <w:rsid w:val="001317AE"/>
    <w:rsid w:val="00131D76"/>
    <w:rsid w:val="00134620"/>
    <w:rsid w:val="001564B5"/>
    <w:rsid w:val="00170962"/>
    <w:rsid w:val="00174017"/>
    <w:rsid w:val="001824DB"/>
    <w:rsid w:val="00196C5E"/>
    <w:rsid w:val="00197512"/>
    <w:rsid w:val="001A0F0B"/>
    <w:rsid w:val="001A42FE"/>
    <w:rsid w:val="001B7D47"/>
    <w:rsid w:val="001C2F18"/>
    <w:rsid w:val="001C3ED2"/>
    <w:rsid w:val="001D1B0C"/>
    <w:rsid w:val="001E2BE7"/>
    <w:rsid w:val="001F6F4F"/>
    <w:rsid w:val="001F7DAD"/>
    <w:rsid w:val="00200C13"/>
    <w:rsid w:val="00203491"/>
    <w:rsid w:val="00203E4C"/>
    <w:rsid w:val="00206BD1"/>
    <w:rsid w:val="0022091D"/>
    <w:rsid w:val="002256C7"/>
    <w:rsid w:val="00233257"/>
    <w:rsid w:val="002360E5"/>
    <w:rsid w:val="0025274F"/>
    <w:rsid w:val="00255CBC"/>
    <w:rsid w:val="00264F95"/>
    <w:rsid w:val="00284AB5"/>
    <w:rsid w:val="002A2F75"/>
    <w:rsid w:val="002A3429"/>
    <w:rsid w:val="002A41B7"/>
    <w:rsid w:val="002A743D"/>
    <w:rsid w:val="002B36C6"/>
    <w:rsid w:val="002B5A5B"/>
    <w:rsid w:val="002B7AE2"/>
    <w:rsid w:val="002C03B2"/>
    <w:rsid w:val="002C7B42"/>
    <w:rsid w:val="002D1E0C"/>
    <w:rsid w:val="002D3400"/>
    <w:rsid w:val="002E076F"/>
    <w:rsid w:val="002E272A"/>
    <w:rsid w:val="002E32FB"/>
    <w:rsid w:val="002E5FB7"/>
    <w:rsid w:val="002E640E"/>
    <w:rsid w:val="002E6BF6"/>
    <w:rsid w:val="002F6487"/>
    <w:rsid w:val="003006FA"/>
    <w:rsid w:val="00302D1C"/>
    <w:rsid w:val="003218E7"/>
    <w:rsid w:val="00340153"/>
    <w:rsid w:val="00346228"/>
    <w:rsid w:val="00346738"/>
    <w:rsid w:val="003516CA"/>
    <w:rsid w:val="00356D2D"/>
    <w:rsid w:val="003611E6"/>
    <w:rsid w:val="00362F0A"/>
    <w:rsid w:val="00363002"/>
    <w:rsid w:val="003708D3"/>
    <w:rsid w:val="00390618"/>
    <w:rsid w:val="00393227"/>
    <w:rsid w:val="003A466D"/>
    <w:rsid w:val="003C3142"/>
    <w:rsid w:val="003C574A"/>
    <w:rsid w:val="003D7238"/>
    <w:rsid w:val="003F24D7"/>
    <w:rsid w:val="003F5678"/>
    <w:rsid w:val="003F7A74"/>
    <w:rsid w:val="003F7AD9"/>
    <w:rsid w:val="00400983"/>
    <w:rsid w:val="00402BCA"/>
    <w:rsid w:val="0040509C"/>
    <w:rsid w:val="00410775"/>
    <w:rsid w:val="004133A4"/>
    <w:rsid w:val="00421B38"/>
    <w:rsid w:val="00424247"/>
    <w:rsid w:val="00425E8B"/>
    <w:rsid w:val="00430567"/>
    <w:rsid w:val="00434A49"/>
    <w:rsid w:val="004407BC"/>
    <w:rsid w:val="004421BB"/>
    <w:rsid w:val="00443802"/>
    <w:rsid w:val="004450E3"/>
    <w:rsid w:val="0045153D"/>
    <w:rsid w:val="0047098A"/>
    <w:rsid w:val="00477059"/>
    <w:rsid w:val="00477D71"/>
    <w:rsid w:val="00477F6E"/>
    <w:rsid w:val="00480D3C"/>
    <w:rsid w:val="004953A3"/>
    <w:rsid w:val="00496013"/>
    <w:rsid w:val="004A0B7A"/>
    <w:rsid w:val="004A1B00"/>
    <w:rsid w:val="004C4BB3"/>
    <w:rsid w:val="004E5946"/>
    <w:rsid w:val="004F018A"/>
    <w:rsid w:val="004F22E8"/>
    <w:rsid w:val="004F23BC"/>
    <w:rsid w:val="005045A1"/>
    <w:rsid w:val="005055BA"/>
    <w:rsid w:val="00507ED4"/>
    <w:rsid w:val="00510D46"/>
    <w:rsid w:val="00514631"/>
    <w:rsid w:val="00520F23"/>
    <w:rsid w:val="00522D5E"/>
    <w:rsid w:val="00525E7B"/>
    <w:rsid w:val="00531848"/>
    <w:rsid w:val="00531CFB"/>
    <w:rsid w:val="00540201"/>
    <w:rsid w:val="00541CF1"/>
    <w:rsid w:val="00543EC7"/>
    <w:rsid w:val="0054631D"/>
    <w:rsid w:val="00565AC5"/>
    <w:rsid w:val="00567C1E"/>
    <w:rsid w:val="00567CA7"/>
    <w:rsid w:val="0057115B"/>
    <w:rsid w:val="0057365B"/>
    <w:rsid w:val="00576532"/>
    <w:rsid w:val="0057696D"/>
    <w:rsid w:val="00583676"/>
    <w:rsid w:val="00586885"/>
    <w:rsid w:val="005A05A6"/>
    <w:rsid w:val="005B644E"/>
    <w:rsid w:val="005C0915"/>
    <w:rsid w:val="005C53A8"/>
    <w:rsid w:val="005D3CB0"/>
    <w:rsid w:val="005F7659"/>
    <w:rsid w:val="005F79F7"/>
    <w:rsid w:val="00604500"/>
    <w:rsid w:val="00610F52"/>
    <w:rsid w:val="00612DA0"/>
    <w:rsid w:val="00643117"/>
    <w:rsid w:val="00643454"/>
    <w:rsid w:val="006467C6"/>
    <w:rsid w:val="006551F4"/>
    <w:rsid w:val="00664D59"/>
    <w:rsid w:val="0067410D"/>
    <w:rsid w:val="006745B9"/>
    <w:rsid w:val="006776BA"/>
    <w:rsid w:val="00683276"/>
    <w:rsid w:val="00686FB5"/>
    <w:rsid w:val="006A06A7"/>
    <w:rsid w:val="006A25E3"/>
    <w:rsid w:val="006A4AF2"/>
    <w:rsid w:val="006B0EE1"/>
    <w:rsid w:val="006B43BE"/>
    <w:rsid w:val="006B4ECD"/>
    <w:rsid w:val="006C2310"/>
    <w:rsid w:val="006C735A"/>
    <w:rsid w:val="006D1095"/>
    <w:rsid w:val="006D194E"/>
    <w:rsid w:val="006D6A71"/>
    <w:rsid w:val="006E1260"/>
    <w:rsid w:val="00700D18"/>
    <w:rsid w:val="00703622"/>
    <w:rsid w:val="0072442E"/>
    <w:rsid w:val="00737459"/>
    <w:rsid w:val="00753504"/>
    <w:rsid w:val="0076167D"/>
    <w:rsid w:val="00776839"/>
    <w:rsid w:val="007B4340"/>
    <w:rsid w:val="007C133E"/>
    <w:rsid w:val="007C7323"/>
    <w:rsid w:val="007D285C"/>
    <w:rsid w:val="007E01AF"/>
    <w:rsid w:val="007E5813"/>
    <w:rsid w:val="007F6E44"/>
    <w:rsid w:val="007F7536"/>
    <w:rsid w:val="008005C1"/>
    <w:rsid w:val="00806321"/>
    <w:rsid w:val="008122F2"/>
    <w:rsid w:val="00812309"/>
    <w:rsid w:val="00820359"/>
    <w:rsid w:val="008210E2"/>
    <w:rsid w:val="00835BA6"/>
    <w:rsid w:val="00836FD5"/>
    <w:rsid w:val="008427A6"/>
    <w:rsid w:val="0084749E"/>
    <w:rsid w:val="00847DDD"/>
    <w:rsid w:val="008530C2"/>
    <w:rsid w:val="00853AC1"/>
    <w:rsid w:val="00872545"/>
    <w:rsid w:val="00873602"/>
    <w:rsid w:val="00895136"/>
    <w:rsid w:val="008957AB"/>
    <w:rsid w:val="008A6722"/>
    <w:rsid w:val="008A7D8B"/>
    <w:rsid w:val="008B35EE"/>
    <w:rsid w:val="008B46A6"/>
    <w:rsid w:val="008C555D"/>
    <w:rsid w:val="008C7623"/>
    <w:rsid w:val="008E333C"/>
    <w:rsid w:val="008F2267"/>
    <w:rsid w:val="008F4859"/>
    <w:rsid w:val="00901693"/>
    <w:rsid w:val="00901720"/>
    <w:rsid w:val="00923E76"/>
    <w:rsid w:val="00926502"/>
    <w:rsid w:val="00937571"/>
    <w:rsid w:val="0093762A"/>
    <w:rsid w:val="0094269D"/>
    <w:rsid w:val="00952DB7"/>
    <w:rsid w:val="009531D5"/>
    <w:rsid w:val="00956998"/>
    <w:rsid w:val="0097247B"/>
    <w:rsid w:val="00976863"/>
    <w:rsid w:val="00977F46"/>
    <w:rsid w:val="0099521E"/>
    <w:rsid w:val="009B3B7E"/>
    <w:rsid w:val="009C0267"/>
    <w:rsid w:val="009C316F"/>
    <w:rsid w:val="009C34DD"/>
    <w:rsid w:val="009D00CF"/>
    <w:rsid w:val="009D4EB2"/>
    <w:rsid w:val="009F1E47"/>
    <w:rsid w:val="009F637B"/>
    <w:rsid w:val="00A000E0"/>
    <w:rsid w:val="00A0374E"/>
    <w:rsid w:val="00A13C11"/>
    <w:rsid w:val="00A17773"/>
    <w:rsid w:val="00A211FF"/>
    <w:rsid w:val="00A31AB1"/>
    <w:rsid w:val="00A46B29"/>
    <w:rsid w:val="00A4799B"/>
    <w:rsid w:val="00A62F72"/>
    <w:rsid w:val="00A72D9D"/>
    <w:rsid w:val="00A7562A"/>
    <w:rsid w:val="00A83965"/>
    <w:rsid w:val="00A959C5"/>
    <w:rsid w:val="00A96E9B"/>
    <w:rsid w:val="00AA4F93"/>
    <w:rsid w:val="00AC0214"/>
    <w:rsid w:val="00AC6D81"/>
    <w:rsid w:val="00AD39DA"/>
    <w:rsid w:val="00AD5956"/>
    <w:rsid w:val="00B024FA"/>
    <w:rsid w:val="00B0651E"/>
    <w:rsid w:val="00B1262D"/>
    <w:rsid w:val="00B15983"/>
    <w:rsid w:val="00B16EF1"/>
    <w:rsid w:val="00B35216"/>
    <w:rsid w:val="00B55AD6"/>
    <w:rsid w:val="00B561D8"/>
    <w:rsid w:val="00B56758"/>
    <w:rsid w:val="00B66AAE"/>
    <w:rsid w:val="00B76AC7"/>
    <w:rsid w:val="00B91C0C"/>
    <w:rsid w:val="00B920DE"/>
    <w:rsid w:val="00B934BB"/>
    <w:rsid w:val="00BB62A9"/>
    <w:rsid w:val="00BB7F16"/>
    <w:rsid w:val="00BC3193"/>
    <w:rsid w:val="00BC6703"/>
    <w:rsid w:val="00BD18B7"/>
    <w:rsid w:val="00BD7867"/>
    <w:rsid w:val="00BF15BC"/>
    <w:rsid w:val="00C00E09"/>
    <w:rsid w:val="00C0246F"/>
    <w:rsid w:val="00C04882"/>
    <w:rsid w:val="00C148A4"/>
    <w:rsid w:val="00C221D6"/>
    <w:rsid w:val="00C23904"/>
    <w:rsid w:val="00C37D73"/>
    <w:rsid w:val="00C40174"/>
    <w:rsid w:val="00C502D7"/>
    <w:rsid w:val="00C51774"/>
    <w:rsid w:val="00C535C9"/>
    <w:rsid w:val="00C5500B"/>
    <w:rsid w:val="00C5673F"/>
    <w:rsid w:val="00C60CF0"/>
    <w:rsid w:val="00C72187"/>
    <w:rsid w:val="00C76743"/>
    <w:rsid w:val="00C80235"/>
    <w:rsid w:val="00C819FA"/>
    <w:rsid w:val="00C828E4"/>
    <w:rsid w:val="00C87F54"/>
    <w:rsid w:val="00C94F7B"/>
    <w:rsid w:val="00C963A6"/>
    <w:rsid w:val="00C97015"/>
    <w:rsid w:val="00CA0243"/>
    <w:rsid w:val="00CB188E"/>
    <w:rsid w:val="00CB1C06"/>
    <w:rsid w:val="00CB66DA"/>
    <w:rsid w:val="00CB7577"/>
    <w:rsid w:val="00CE54A5"/>
    <w:rsid w:val="00D04987"/>
    <w:rsid w:val="00D056A2"/>
    <w:rsid w:val="00D07B54"/>
    <w:rsid w:val="00D137B0"/>
    <w:rsid w:val="00D24397"/>
    <w:rsid w:val="00D31C85"/>
    <w:rsid w:val="00D34D23"/>
    <w:rsid w:val="00D363F5"/>
    <w:rsid w:val="00D47D52"/>
    <w:rsid w:val="00D5124C"/>
    <w:rsid w:val="00D51913"/>
    <w:rsid w:val="00D55E4E"/>
    <w:rsid w:val="00D63739"/>
    <w:rsid w:val="00D66288"/>
    <w:rsid w:val="00D67A8E"/>
    <w:rsid w:val="00D7425C"/>
    <w:rsid w:val="00D74E6F"/>
    <w:rsid w:val="00D7553F"/>
    <w:rsid w:val="00D868CF"/>
    <w:rsid w:val="00D9067E"/>
    <w:rsid w:val="00DA573B"/>
    <w:rsid w:val="00DA5D08"/>
    <w:rsid w:val="00DC1B84"/>
    <w:rsid w:val="00DD5C7B"/>
    <w:rsid w:val="00DD7562"/>
    <w:rsid w:val="00DF2C9A"/>
    <w:rsid w:val="00E00751"/>
    <w:rsid w:val="00E04323"/>
    <w:rsid w:val="00E0614F"/>
    <w:rsid w:val="00E0797D"/>
    <w:rsid w:val="00E22052"/>
    <w:rsid w:val="00E4725C"/>
    <w:rsid w:val="00E52E27"/>
    <w:rsid w:val="00E53FD1"/>
    <w:rsid w:val="00E635F4"/>
    <w:rsid w:val="00E71126"/>
    <w:rsid w:val="00E73BAD"/>
    <w:rsid w:val="00E74F99"/>
    <w:rsid w:val="00E75231"/>
    <w:rsid w:val="00E75379"/>
    <w:rsid w:val="00E76919"/>
    <w:rsid w:val="00E77DB1"/>
    <w:rsid w:val="00E83032"/>
    <w:rsid w:val="00E8751F"/>
    <w:rsid w:val="00E9097A"/>
    <w:rsid w:val="00EA10C7"/>
    <w:rsid w:val="00EA3CC1"/>
    <w:rsid w:val="00EA6817"/>
    <w:rsid w:val="00EB4C46"/>
    <w:rsid w:val="00EC178E"/>
    <w:rsid w:val="00EE37D7"/>
    <w:rsid w:val="00EF1D00"/>
    <w:rsid w:val="00EF3DC5"/>
    <w:rsid w:val="00F10321"/>
    <w:rsid w:val="00F10C2F"/>
    <w:rsid w:val="00F13C40"/>
    <w:rsid w:val="00F15658"/>
    <w:rsid w:val="00F16343"/>
    <w:rsid w:val="00F375FC"/>
    <w:rsid w:val="00F42BB3"/>
    <w:rsid w:val="00F4314D"/>
    <w:rsid w:val="00F6118C"/>
    <w:rsid w:val="00F63462"/>
    <w:rsid w:val="00F642CA"/>
    <w:rsid w:val="00F65F75"/>
    <w:rsid w:val="00F675B0"/>
    <w:rsid w:val="00F77687"/>
    <w:rsid w:val="00F8248E"/>
    <w:rsid w:val="00F8520C"/>
    <w:rsid w:val="00F85AFC"/>
    <w:rsid w:val="00F95A63"/>
    <w:rsid w:val="00FA0A2B"/>
    <w:rsid w:val="00FA190F"/>
    <w:rsid w:val="00FC6871"/>
    <w:rsid w:val="00FE245F"/>
    <w:rsid w:val="00FF3116"/>
    <w:rsid w:val="6FE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8BF9"/>
  <w15:docId w15:val="{9CA80460-486A-40B1-A393-0754A4A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65"/>
  </w:style>
  <w:style w:type="paragraph" w:styleId="Footer">
    <w:name w:val="footer"/>
    <w:basedOn w:val="Normal"/>
    <w:link w:val="Foot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65"/>
  </w:style>
  <w:style w:type="paragraph" w:styleId="BalloonText">
    <w:name w:val="Balloon Text"/>
    <w:basedOn w:val="Normal"/>
    <w:link w:val="BalloonTextChar"/>
    <w:uiPriority w:val="99"/>
    <w:semiHidden/>
    <w:unhideWhenUsed/>
    <w:rsid w:val="00A8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39"/>
    <w:pPr>
      <w:ind w:left="720"/>
      <w:contextualSpacing/>
    </w:pPr>
  </w:style>
  <w:style w:type="character" w:customStyle="1" w:styleId="hps">
    <w:name w:val="hps"/>
    <w:basedOn w:val="DefaultParagraphFont"/>
    <w:rsid w:val="00443802"/>
  </w:style>
  <w:style w:type="character" w:customStyle="1" w:styleId="shorttext">
    <w:name w:val="short_text"/>
    <w:basedOn w:val="DefaultParagraphFont"/>
    <w:rsid w:val="00443802"/>
  </w:style>
  <w:style w:type="character" w:customStyle="1" w:styleId="longtext">
    <w:name w:val="long_text"/>
    <w:basedOn w:val="DefaultParagraphFont"/>
    <w:rsid w:val="00443802"/>
  </w:style>
  <w:style w:type="character" w:styleId="Hyperlink">
    <w:name w:val="Hyperlink"/>
    <w:basedOn w:val="DefaultParagraphFont"/>
    <w:uiPriority w:val="99"/>
    <w:unhideWhenUsed/>
    <w:rsid w:val="00443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735A"/>
    <w:pPr>
      <w:jc w:val="left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E8"/>
    <w:rPr>
      <w:b/>
      <w:bCs/>
      <w:sz w:val="20"/>
      <w:szCs w:val="20"/>
    </w:rPr>
  </w:style>
  <w:style w:type="character" w:styleId="Strong">
    <w:name w:val="Strong"/>
    <w:qFormat/>
    <w:rsid w:val="001564B5"/>
    <w:rPr>
      <w:b/>
      <w:bCs/>
    </w:rPr>
  </w:style>
  <w:style w:type="paragraph" w:customStyle="1" w:styleId="Normal1">
    <w:name w:val="Normal1"/>
    <w:basedOn w:val="Normal"/>
    <w:rsid w:val="00156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1F23-62ED-43B0-BE58-7B08AEDE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559C-3487-4CD6-9F20-C6164C9EF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28AC7-AFB1-4B49-8BF1-901172732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69AC4-EF13-4B48-A229-1906F19A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root</cp:lastModifiedBy>
  <cp:revision>20</cp:revision>
  <dcterms:created xsi:type="dcterms:W3CDTF">2021-11-23T09:21:00Z</dcterms:created>
  <dcterms:modified xsi:type="dcterms:W3CDTF">2021-11-23T11:41:00Z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