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2CD9" w14:textId="2F919BA0" w:rsidR="00C76743" w:rsidRPr="002256C7" w:rsidRDefault="00C76743" w:rsidP="00C76743">
      <w:pPr>
        <w:pStyle w:val="Normal1"/>
        <w:spacing w:before="0" w:beforeAutospacing="0" w:after="0" w:afterAutospacing="0"/>
        <w:jc w:val="center"/>
        <w:rPr>
          <w:rFonts w:eastAsia="Calibri"/>
          <w:b/>
          <w:i/>
          <w:sz w:val="26"/>
          <w:szCs w:val="26"/>
        </w:rPr>
      </w:pPr>
      <w:r w:rsidRPr="002256C7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1072515" wp14:editId="6B4D1FEF">
            <wp:simplePos x="0" y="0"/>
            <wp:positionH relativeFrom="column">
              <wp:posOffset>0</wp:posOffset>
            </wp:positionH>
            <wp:positionV relativeFrom="paragraph">
              <wp:posOffset>-125095</wp:posOffset>
            </wp:positionV>
            <wp:extent cx="1279525" cy="342900"/>
            <wp:effectExtent l="0" t="0" r="0" b="0"/>
            <wp:wrapThrough wrapText="bothSides">
              <wp:wrapPolygon edited="0">
                <wp:start x="965" y="0"/>
                <wp:lineTo x="0" y="6000"/>
                <wp:lineTo x="0" y="14400"/>
                <wp:lineTo x="965" y="20400"/>
                <wp:lineTo x="3859" y="20400"/>
                <wp:lineTo x="21225" y="16800"/>
                <wp:lineTo x="21225" y="2400"/>
                <wp:lineTo x="3537" y="0"/>
                <wp:lineTo x="965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73834508qptptb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35" b="25255"/>
                    <a:stretch/>
                  </pic:blipFill>
                  <pic:spPr bwMode="auto">
                    <a:xfrm>
                      <a:off x="0" y="0"/>
                      <a:ext cx="1279525" cy="34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E1036" w14:textId="77777777" w:rsidR="008C7623" w:rsidRPr="002256C7" w:rsidRDefault="008C7623" w:rsidP="008C7623">
      <w:pPr>
        <w:pStyle w:val="Normal1"/>
        <w:spacing w:before="0" w:beforeAutospacing="0" w:after="0" w:afterAutospacing="0"/>
        <w:jc w:val="center"/>
        <w:rPr>
          <w:rFonts w:eastAsia="Calibri"/>
          <w:b/>
          <w:i/>
          <w:sz w:val="26"/>
          <w:szCs w:val="26"/>
        </w:rPr>
      </w:pPr>
    </w:p>
    <w:p w14:paraId="2593F54E" w14:textId="77777777" w:rsidR="008C7623" w:rsidRPr="002256C7" w:rsidRDefault="008C7623" w:rsidP="008C7623">
      <w:pPr>
        <w:pStyle w:val="Normal1"/>
        <w:spacing w:before="0" w:beforeAutospacing="0" w:after="0" w:afterAutospacing="0"/>
        <w:jc w:val="center"/>
        <w:rPr>
          <w:rFonts w:eastAsia="Calibri"/>
          <w:b/>
          <w:i/>
          <w:sz w:val="26"/>
          <w:szCs w:val="26"/>
        </w:rPr>
      </w:pPr>
    </w:p>
    <w:p w14:paraId="62C2DFBE" w14:textId="77777777" w:rsidR="008C7623" w:rsidRPr="002256C7" w:rsidRDefault="008C7623" w:rsidP="008C7623">
      <w:pPr>
        <w:pStyle w:val="Normal1"/>
        <w:spacing w:before="0" w:beforeAutospacing="0" w:after="0" w:afterAutospacing="0"/>
        <w:jc w:val="center"/>
        <w:rPr>
          <w:rFonts w:eastAsia="Calibri"/>
          <w:b/>
          <w:i/>
          <w:sz w:val="26"/>
          <w:szCs w:val="26"/>
        </w:rPr>
      </w:pPr>
    </w:p>
    <w:p w14:paraId="617ADB67" w14:textId="7B7215FF" w:rsidR="006C2310" w:rsidRPr="002256C7" w:rsidRDefault="000B715F" w:rsidP="008C7623">
      <w:pPr>
        <w:pStyle w:val="Normal1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2256C7">
        <w:rPr>
          <w:rFonts w:eastAsia="Calibri"/>
          <w:b/>
          <w:i/>
          <w:sz w:val="26"/>
          <w:szCs w:val="26"/>
        </w:rPr>
        <w:t xml:space="preserve">ПРОЦЕДУРА ЗА </w:t>
      </w:r>
      <w:r w:rsidR="008C7623" w:rsidRPr="002256C7">
        <w:rPr>
          <w:rFonts w:eastAsia="Calibri"/>
          <w:b/>
          <w:i/>
          <w:sz w:val="26"/>
          <w:szCs w:val="26"/>
        </w:rPr>
        <w:t>ОЦЕНКА НА РИСКА ПРИ ОБРАБОТВАНЕ НА ЛИЧНИ ДАННИ</w:t>
      </w:r>
    </w:p>
    <w:p w14:paraId="34ABBC31" w14:textId="77777777" w:rsidR="000B715F" w:rsidRPr="002256C7" w:rsidRDefault="000B715F" w:rsidP="000B715F">
      <w:pPr>
        <w:pStyle w:val="Normal1"/>
        <w:spacing w:before="0" w:beforeAutospacing="0" w:after="0" w:afterAutospacing="0"/>
        <w:ind w:left="214"/>
        <w:rPr>
          <w:rStyle w:val="Strong"/>
          <w:sz w:val="26"/>
          <w:szCs w:val="26"/>
        </w:rPr>
      </w:pPr>
    </w:p>
    <w:p w14:paraId="4AD94F23" w14:textId="77777777" w:rsidR="000B715F" w:rsidRPr="002256C7" w:rsidRDefault="000B715F" w:rsidP="000B715F">
      <w:pPr>
        <w:pStyle w:val="Normal1"/>
        <w:spacing w:before="0" w:beforeAutospacing="0" w:after="0" w:afterAutospacing="0"/>
        <w:ind w:left="214"/>
        <w:rPr>
          <w:rStyle w:val="Strong"/>
          <w:sz w:val="26"/>
          <w:szCs w:val="26"/>
        </w:rPr>
      </w:pPr>
    </w:p>
    <w:p w14:paraId="683276A7" w14:textId="77777777" w:rsidR="00011862" w:rsidRPr="002256C7" w:rsidRDefault="00011862" w:rsidP="000B715F">
      <w:pPr>
        <w:pStyle w:val="Normal1"/>
        <w:spacing w:before="0" w:beforeAutospacing="0" w:after="0" w:afterAutospacing="0"/>
        <w:ind w:left="5812"/>
        <w:rPr>
          <w:rStyle w:val="Strong"/>
          <w:sz w:val="26"/>
          <w:szCs w:val="26"/>
        </w:rPr>
      </w:pPr>
    </w:p>
    <w:p w14:paraId="6D12A084" w14:textId="77777777" w:rsidR="000B715F" w:rsidRPr="002256C7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  <w:sz w:val="26"/>
          <w:szCs w:val="26"/>
        </w:rPr>
      </w:pPr>
      <w:r w:rsidRPr="002256C7">
        <w:rPr>
          <w:rStyle w:val="Strong"/>
          <w:sz w:val="26"/>
          <w:szCs w:val="26"/>
        </w:rPr>
        <w:t>Утвърдил:</w:t>
      </w:r>
    </w:p>
    <w:p w14:paraId="7EA4EB13" w14:textId="77777777" w:rsidR="000B715F" w:rsidRPr="002256C7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  <w:sz w:val="26"/>
          <w:szCs w:val="26"/>
        </w:rPr>
      </w:pPr>
    </w:p>
    <w:p w14:paraId="17DB332A" w14:textId="77777777" w:rsidR="000B715F" w:rsidRPr="002256C7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  <w:sz w:val="26"/>
          <w:szCs w:val="26"/>
        </w:rPr>
      </w:pPr>
    </w:p>
    <w:p w14:paraId="6FA0B3DD" w14:textId="74A2D277" w:rsidR="000212E8" w:rsidRPr="002256C7" w:rsidRDefault="00B561D8" w:rsidP="000B715F">
      <w:pPr>
        <w:pStyle w:val="Normal1"/>
        <w:spacing w:before="0" w:beforeAutospacing="0" w:after="0" w:afterAutospacing="0"/>
        <w:ind w:left="5812"/>
        <w:rPr>
          <w:rStyle w:val="Strong"/>
          <w:sz w:val="26"/>
          <w:szCs w:val="26"/>
        </w:rPr>
      </w:pPr>
      <w:r w:rsidRPr="002256C7">
        <w:rPr>
          <w:rStyle w:val="Strong"/>
          <w:sz w:val="26"/>
          <w:szCs w:val="26"/>
        </w:rPr>
        <w:t xml:space="preserve">доц. д-р Добри </w:t>
      </w:r>
      <w:proofErr w:type="spellStart"/>
      <w:r w:rsidRPr="002256C7">
        <w:rPr>
          <w:rStyle w:val="Strong"/>
          <w:sz w:val="26"/>
          <w:szCs w:val="26"/>
        </w:rPr>
        <w:t>Ярков</w:t>
      </w:r>
      <w:proofErr w:type="spellEnd"/>
    </w:p>
    <w:p w14:paraId="4F467E17" w14:textId="257110F9" w:rsidR="000B715F" w:rsidRPr="002256C7" w:rsidRDefault="000B715F" w:rsidP="000B715F">
      <w:pPr>
        <w:pStyle w:val="Normal1"/>
        <w:spacing w:before="0" w:beforeAutospacing="0" w:after="0" w:afterAutospacing="0"/>
        <w:ind w:left="5812"/>
        <w:rPr>
          <w:rStyle w:val="Strong"/>
          <w:sz w:val="26"/>
          <w:szCs w:val="26"/>
        </w:rPr>
      </w:pPr>
      <w:r w:rsidRPr="002256C7">
        <w:rPr>
          <w:rStyle w:val="Strong"/>
          <w:sz w:val="26"/>
          <w:szCs w:val="26"/>
        </w:rPr>
        <w:t>Ректор на Тракийски университет</w:t>
      </w:r>
    </w:p>
    <w:p w14:paraId="52251569" w14:textId="77777777" w:rsidR="000B715F" w:rsidRPr="002256C7" w:rsidRDefault="000B715F" w:rsidP="00D04987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73B3388E" w14:textId="77777777" w:rsidR="000B715F" w:rsidRPr="002256C7" w:rsidRDefault="000B715F" w:rsidP="00D04987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3D8D9081" w14:textId="77777777" w:rsidR="000B715F" w:rsidRPr="002256C7" w:rsidRDefault="000B715F" w:rsidP="00D04987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14:paraId="07E1D383" w14:textId="77777777" w:rsidR="00576532" w:rsidRPr="002256C7" w:rsidRDefault="00576532" w:rsidP="00E77DB1">
      <w:pPr>
        <w:ind w:left="360" w:firstLine="20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1. ЦЕЛИ</w:t>
      </w:r>
    </w:p>
    <w:p w14:paraId="190BE3A5" w14:textId="4DC21AA0" w:rsidR="00576532" w:rsidRPr="002256C7" w:rsidRDefault="00576532" w:rsidP="00901720">
      <w:pPr>
        <w:ind w:left="284" w:firstLine="436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Настоящата процедура има за цел да определи реда и отговорностите в процеса по оценка</w:t>
      </w:r>
      <w:r w:rsid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на въздействието на дадена обработка върху личните данни.</w:t>
      </w:r>
    </w:p>
    <w:p w14:paraId="52DE3968" w14:textId="7178E1A7" w:rsidR="00576532" w:rsidRPr="002256C7" w:rsidRDefault="00576532" w:rsidP="00901720">
      <w:pPr>
        <w:ind w:left="284" w:firstLine="436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Да оцени произлизащите от обработката рискове за организацията, и правата и свободите на</w:t>
      </w:r>
      <w:r w:rsid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субектите на данни.</w:t>
      </w:r>
    </w:p>
    <w:p w14:paraId="429BAC83" w14:textId="0D6EC4E9" w:rsidR="00F8248E" w:rsidRPr="002256C7" w:rsidRDefault="00576532" w:rsidP="00901720">
      <w:pPr>
        <w:ind w:left="284" w:firstLine="436"/>
        <w:rPr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Да осигури адекватна защита на конфиденциалността, целостта и наличността на личните</w:t>
      </w:r>
      <w:r w:rsid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данни, администрирани от организацията.</w:t>
      </w:r>
      <w:r w:rsidRPr="002256C7">
        <w:rPr>
          <w:rStyle w:val="hps"/>
          <w:rFonts w:ascii="Times New Roman" w:hAnsi="Times New Roman" w:cs="Times New Roman"/>
          <w:b/>
          <w:sz w:val="26"/>
          <w:szCs w:val="26"/>
          <w:u w:val="single"/>
          <w:lang w:val="bg-BG"/>
        </w:rPr>
        <w:cr/>
      </w:r>
    </w:p>
    <w:p w14:paraId="0D5F5DD3" w14:textId="77777777" w:rsidR="00576532" w:rsidRPr="002256C7" w:rsidRDefault="00576532" w:rsidP="00E77DB1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2. ОБХВАТ</w:t>
      </w:r>
    </w:p>
    <w:p w14:paraId="5B792138" w14:textId="11B6E405" w:rsidR="006A4AF2" w:rsidRPr="002256C7" w:rsidRDefault="00576532" w:rsidP="00901720">
      <w:pPr>
        <w:pStyle w:val="ListParagraph"/>
        <w:ind w:left="284" w:firstLine="436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Процедурата обхваща процесите по оценка на риска за ЛД, администрирани от организацията, попадащи в обхвата на Общия регламент за защита на данните /ОРЗД/GDPR/.</w:t>
      </w:r>
    </w:p>
    <w:p w14:paraId="6935F315" w14:textId="77777777" w:rsidR="00F8248E" w:rsidRPr="002256C7" w:rsidRDefault="00F8248E" w:rsidP="00D04987">
      <w:pPr>
        <w:pStyle w:val="ListParagraph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</w:p>
    <w:p w14:paraId="621B865B" w14:textId="77777777" w:rsidR="001824DB" w:rsidRPr="001313A9" w:rsidRDefault="001824DB" w:rsidP="001824DB">
      <w:pPr>
        <w:pStyle w:val="ListParagraph"/>
        <w:ind w:left="567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1313A9">
        <w:rPr>
          <w:rFonts w:ascii="Times New Roman" w:hAnsi="Times New Roman" w:cs="Times New Roman"/>
          <w:b/>
          <w:sz w:val="26"/>
          <w:szCs w:val="26"/>
          <w:lang w:val="bg-BG"/>
        </w:rPr>
        <w:t>3. ОТГОВОРНОСТИ</w:t>
      </w:r>
    </w:p>
    <w:p w14:paraId="399A7EDE" w14:textId="6976C723" w:rsidR="001824DB" w:rsidRPr="002256C7" w:rsidRDefault="001824DB" w:rsidP="00CB1C06">
      <w:pPr>
        <w:pStyle w:val="ListParagraph"/>
        <w:ind w:left="284" w:firstLine="436"/>
        <w:rPr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Fonts w:ascii="Times New Roman" w:hAnsi="Times New Roman" w:cs="Times New Roman"/>
          <w:sz w:val="26"/>
          <w:szCs w:val="26"/>
          <w:lang w:val="bg-BG"/>
        </w:rPr>
        <w:t>Настоящата процедура се прилага от членовете на работната група по защита на ЛД и</w:t>
      </w:r>
      <w:r w:rsidR="00225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Fonts w:ascii="Times New Roman" w:hAnsi="Times New Roman" w:cs="Times New Roman"/>
          <w:sz w:val="26"/>
          <w:szCs w:val="26"/>
          <w:lang w:val="bg-BG"/>
        </w:rPr>
        <w:t>Длъжностното лице по защита на личните данни /DPO/.</w:t>
      </w:r>
    </w:p>
    <w:p w14:paraId="1F7937A5" w14:textId="1E6F78DD" w:rsidR="001824DB" w:rsidRPr="002256C7" w:rsidRDefault="001824DB" w:rsidP="00CB1C06">
      <w:pPr>
        <w:pStyle w:val="ListParagraph"/>
        <w:ind w:left="284" w:firstLine="436"/>
        <w:rPr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Fonts w:ascii="Times New Roman" w:hAnsi="Times New Roman" w:cs="Times New Roman"/>
          <w:sz w:val="26"/>
          <w:szCs w:val="26"/>
          <w:lang w:val="bg-BG"/>
        </w:rPr>
        <w:t>Пряка отговорност за прилагане и спазване на настоящата процедура носят лицата от</w:t>
      </w:r>
      <w:r w:rsidR="00225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Fonts w:ascii="Times New Roman" w:hAnsi="Times New Roman" w:cs="Times New Roman"/>
          <w:sz w:val="26"/>
          <w:szCs w:val="26"/>
          <w:lang w:val="bg-BG"/>
        </w:rPr>
        <w:t>организацията, както следва:</w:t>
      </w:r>
    </w:p>
    <w:p w14:paraId="438518B7" w14:textId="1BAC0EFC" w:rsidR="001824DB" w:rsidRPr="008122F2" w:rsidRDefault="001824DB" w:rsidP="00CB1C06">
      <w:pPr>
        <w:pStyle w:val="ListParagraph"/>
        <w:numPr>
          <w:ilvl w:val="0"/>
          <w:numId w:val="23"/>
        </w:numPr>
        <w:ind w:left="284" w:firstLine="850"/>
        <w:rPr>
          <w:rFonts w:ascii="Times New Roman" w:hAnsi="Times New Roman" w:cs="Times New Roman"/>
          <w:sz w:val="26"/>
          <w:szCs w:val="26"/>
          <w:lang w:val="bg-BG"/>
        </w:rPr>
      </w:pPr>
      <w:r w:rsidRPr="008122F2">
        <w:rPr>
          <w:rFonts w:ascii="Times New Roman" w:hAnsi="Times New Roman" w:cs="Times New Roman"/>
          <w:sz w:val="26"/>
          <w:szCs w:val="26"/>
          <w:lang w:val="bg-BG"/>
        </w:rPr>
        <w:t>Управител за непрекъснат контрол на процесите и осигуряване на необходимите</w:t>
      </w:r>
      <w:r w:rsidR="002256C7" w:rsidRPr="008122F2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8122F2">
        <w:rPr>
          <w:rFonts w:ascii="Times New Roman" w:hAnsi="Times New Roman" w:cs="Times New Roman"/>
          <w:sz w:val="26"/>
          <w:szCs w:val="26"/>
          <w:lang w:val="bg-BG"/>
        </w:rPr>
        <w:t>ресурси;</w:t>
      </w:r>
    </w:p>
    <w:p w14:paraId="55BB5022" w14:textId="69BC3D27" w:rsidR="00F8248E" w:rsidRPr="002256C7" w:rsidRDefault="001824DB" w:rsidP="00CB1C06">
      <w:pPr>
        <w:pStyle w:val="ListParagraph"/>
        <w:numPr>
          <w:ilvl w:val="0"/>
          <w:numId w:val="24"/>
        </w:numPr>
        <w:ind w:left="284" w:firstLine="643"/>
        <w:rPr>
          <w:rFonts w:ascii="Times New Roman" w:hAnsi="Times New Roman" w:cs="Times New Roman"/>
          <w:b/>
          <w:i/>
          <w:sz w:val="26"/>
          <w:szCs w:val="26"/>
          <w:u w:val="single"/>
          <w:lang w:val="bg-BG"/>
        </w:rPr>
      </w:pPr>
      <w:r w:rsidRPr="002256C7">
        <w:rPr>
          <w:rFonts w:ascii="Times New Roman" w:hAnsi="Times New Roman" w:cs="Times New Roman"/>
          <w:sz w:val="26"/>
          <w:szCs w:val="26"/>
          <w:lang w:val="bg-BG"/>
        </w:rPr>
        <w:t>DPO за оказване на контрол и методическа помощ в структурните звена и пряко</w:t>
      </w:r>
      <w:r w:rsidR="00225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Fonts w:ascii="Times New Roman" w:hAnsi="Times New Roman" w:cs="Times New Roman"/>
          <w:sz w:val="26"/>
          <w:szCs w:val="26"/>
          <w:lang w:val="bg-BG"/>
        </w:rPr>
        <w:t>управление на процесите в неговите правомощия и функционални задължения;</w:t>
      </w:r>
    </w:p>
    <w:p w14:paraId="35530201" w14:textId="77777777" w:rsidR="001824DB" w:rsidRPr="002256C7" w:rsidRDefault="001824DB" w:rsidP="00F8248E">
      <w:pPr>
        <w:pStyle w:val="ListParagraph"/>
        <w:ind w:left="567"/>
        <w:rPr>
          <w:rFonts w:ascii="Times New Roman" w:hAnsi="Times New Roman" w:cs="Times New Roman"/>
          <w:b/>
          <w:i/>
          <w:sz w:val="26"/>
          <w:szCs w:val="26"/>
          <w:u w:val="single"/>
          <w:lang w:val="bg-BG"/>
        </w:rPr>
      </w:pPr>
    </w:p>
    <w:p w14:paraId="506D6578" w14:textId="77777777" w:rsidR="001824DB" w:rsidRPr="002256C7" w:rsidRDefault="001824DB" w:rsidP="001824DB">
      <w:pPr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4. ТЕРМИНОЛОГИЯ И СЪКРАЩЕНИЯ</w:t>
      </w:r>
    </w:p>
    <w:p w14:paraId="0FDA7E92" w14:textId="0E53AC7B" w:rsidR="001824DB" w:rsidRPr="001C2F18" w:rsidRDefault="001824DB" w:rsidP="001C2F18">
      <w:pPr>
        <w:pStyle w:val="ListParagraph"/>
        <w:widowControl w:val="0"/>
        <w:numPr>
          <w:ilvl w:val="0"/>
          <w:numId w:val="17"/>
        </w:numPr>
        <w:tabs>
          <w:tab w:val="left" w:pos="1127"/>
        </w:tabs>
        <w:autoSpaceDE w:val="0"/>
        <w:autoSpaceDN w:val="0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Организацията – Тракийски университет – Стара Загора</w:t>
      </w:r>
    </w:p>
    <w:p w14:paraId="4C364F93" w14:textId="5E61727F" w:rsidR="001824DB" w:rsidRPr="001C2F18" w:rsidRDefault="001824DB" w:rsidP="001C2F18">
      <w:pPr>
        <w:pStyle w:val="ListParagraph"/>
        <w:widowControl w:val="0"/>
        <w:numPr>
          <w:ilvl w:val="0"/>
          <w:numId w:val="18"/>
        </w:numPr>
        <w:tabs>
          <w:tab w:val="left" w:pos="1127"/>
        </w:tabs>
        <w:autoSpaceDE w:val="0"/>
        <w:autoSpaceDN w:val="0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DPO – Data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Protection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Officer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/Длъжностно лице по защита на личните данни/</w:t>
      </w:r>
    </w:p>
    <w:p w14:paraId="05A8AE7B" w14:textId="3B1F3C02" w:rsidR="001824DB" w:rsidRPr="001C2F18" w:rsidRDefault="001824DB" w:rsidP="00CB1C06">
      <w:pPr>
        <w:pStyle w:val="ListParagraph"/>
        <w:widowControl w:val="0"/>
        <w:numPr>
          <w:ilvl w:val="0"/>
          <w:numId w:val="18"/>
        </w:numPr>
        <w:tabs>
          <w:tab w:val="left" w:pos="1127"/>
        </w:tabs>
        <w:autoSpaceDE w:val="0"/>
        <w:autoSpaceDN w:val="0"/>
        <w:ind w:left="284" w:firstLine="643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DPIA – Data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Privacy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Impact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Assessment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/Оценка на Въздействието върху Защитата на</w:t>
      </w:r>
      <w:r w:rsidR="002256C7"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Данните/</w:t>
      </w:r>
    </w:p>
    <w:p w14:paraId="333A6293" w14:textId="79337C40" w:rsidR="001824DB" w:rsidRPr="001C2F18" w:rsidRDefault="001824DB" w:rsidP="001C2F18">
      <w:pPr>
        <w:pStyle w:val="ListParagraph"/>
        <w:widowControl w:val="0"/>
        <w:numPr>
          <w:ilvl w:val="0"/>
          <w:numId w:val="18"/>
        </w:numPr>
        <w:tabs>
          <w:tab w:val="left" w:pos="1127"/>
        </w:tabs>
        <w:autoSpaceDE w:val="0"/>
        <w:autoSpaceDN w:val="0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lastRenderedPageBreak/>
        <w:t>ЛД – Лични данни</w:t>
      </w:r>
    </w:p>
    <w:p w14:paraId="0C74DCAE" w14:textId="15715E61" w:rsidR="00531848" w:rsidRPr="001C2F18" w:rsidRDefault="001824DB" w:rsidP="001C2F18">
      <w:pPr>
        <w:pStyle w:val="ListParagraph"/>
        <w:widowControl w:val="0"/>
        <w:numPr>
          <w:ilvl w:val="0"/>
          <w:numId w:val="18"/>
        </w:numPr>
        <w:tabs>
          <w:tab w:val="left" w:pos="1127"/>
        </w:tabs>
        <w:autoSpaceDE w:val="0"/>
        <w:autoSpaceDN w:val="0"/>
        <w:rPr>
          <w:rFonts w:ascii="Times New Roman" w:hAnsi="Times New Roman" w:cs="Times New Roman"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GDPR – General Data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Protection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Regulation</w:t>
      </w:r>
      <w:proofErr w:type="spellEnd"/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/Общ регламент за защита на данните/</w:t>
      </w:r>
    </w:p>
    <w:p w14:paraId="51BE7225" w14:textId="77777777" w:rsidR="001824DB" w:rsidRPr="002256C7" w:rsidRDefault="001824DB" w:rsidP="00835BA6">
      <w:pPr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sz w:val="26"/>
          <w:szCs w:val="26"/>
          <w:lang w:val="bg-BG"/>
        </w:rPr>
      </w:pPr>
    </w:p>
    <w:p w14:paraId="07A9E7CA" w14:textId="77777777" w:rsidR="001824DB" w:rsidRPr="002256C7" w:rsidRDefault="001824DB" w:rsidP="001824DB">
      <w:pPr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Fonts w:ascii="Times New Roman" w:hAnsi="Times New Roman" w:cs="Times New Roman"/>
          <w:b/>
          <w:sz w:val="26"/>
          <w:szCs w:val="26"/>
          <w:lang w:val="bg-BG"/>
        </w:rPr>
        <w:t>5. ДЕЙСТВИЯ И МЕТОДИ</w:t>
      </w:r>
    </w:p>
    <w:p w14:paraId="1C2DDB18" w14:textId="71100F34" w:rsidR="001824DB" w:rsidRPr="002256C7" w:rsidRDefault="001824DB" w:rsidP="001824DB">
      <w:pPr>
        <w:widowControl w:val="0"/>
        <w:tabs>
          <w:tab w:val="left" w:pos="1127"/>
        </w:tabs>
        <w:autoSpaceDE w:val="0"/>
        <w:autoSpaceDN w:val="0"/>
        <w:ind w:left="567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Fonts w:ascii="Times New Roman" w:hAnsi="Times New Roman" w:cs="Times New Roman"/>
          <w:b/>
          <w:sz w:val="26"/>
          <w:szCs w:val="26"/>
          <w:lang w:val="bg-BG"/>
        </w:rPr>
        <w:t>5.1.</w:t>
      </w:r>
      <w:r w:rsidR="001313A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2256C7">
        <w:rPr>
          <w:rFonts w:ascii="Times New Roman" w:hAnsi="Times New Roman" w:cs="Times New Roman"/>
          <w:b/>
          <w:sz w:val="26"/>
          <w:szCs w:val="26"/>
          <w:lang w:val="bg-BG"/>
        </w:rPr>
        <w:t>ОБЩИ ПОЛОЖЕНИЯ</w:t>
      </w:r>
    </w:p>
    <w:p w14:paraId="1A766B23" w14:textId="45C5558E" w:rsidR="001824DB" w:rsidRPr="002256C7" w:rsidRDefault="001824DB" w:rsidP="00901720">
      <w:pPr>
        <w:widowControl w:val="0"/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Fonts w:ascii="Times New Roman" w:hAnsi="Times New Roman" w:cs="Times New Roman"/>
          <w:sz w:val="26"/>
          <w:szCs w:val="26"/>
          <w:lang w:val="bg-BG"/>
        </w:rPr>
        <w:t xml:space="preserve">С приемането на GDPR през </w:t>
      </w:r>
      <w:r w:rsidR="00CB1C06">
        <w:rPr>
          <w:rFonts w:ascii="Times New Roman" w:hAnsi="Times New Roman" w:cs="Times New Roman"/>
          <w:sz w:val="26"/>
          <w:szCs w:val="26"/>
          <w:lang w:val="bg-BG"/>
        </w:rPr>
        <w:t>а</w:t>
      </w:r>
      <w:r w:rsidRPr="002256C7">
        <w:rPr>
          <w:rFonts w:ascii="Times New Roman" w:hAnsi="Times New Roman" w:cs="Times New Roman"/>
          <w:sz w:val="26"/>
          <w:szCs w:val="26"/>
          <w:lang w:val="bg-BG"/>
        </w:rPr>
        <w:t>прил 2016 г, ЛД се превръщат в актив, чието притежание</w:t>
      </w:r>
      <w:r w:rsidR="00225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Fonts w:ascii="Times New Roman" w:hAnsi="Times New Roman" w:cs="Times New Roman"/>
          <w:sz w:val="26"/>
          <w:szCs w:val="26"/>
          <w:lang w:val="bg-BG"/>
        </w:rPr>
        <w:t>поражда определени задължения за организацията и следователно трябва да бъде защитен по</w:t>
      </w:r>
      <w:r w:rsidR="00225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Fonts w:ascii="Times New Roman" w:hAnsi="Times New Roman" w:cs="Times New Roman"/>
          <w:sz w:val="26"/>
          <w:szCs w:val="26"/>
          <w:lang w:val="bg-BG"/>
        </w:rPr>
        <w:t>подходящ начин. Оценката на потенциалните рискове по отношение на ЛД се прави с цел постоянно</w:t>
      </w:r>
      <w:r w:rsidR="00225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Fonts w:ascii="Times New Roman" w:hAnsi="Times New Roman" w:cs="Times New Roman"/>
          <w:sz w:val="26"/>
          <w:szCs w:val="26"/>
          <w:lang w:val="bg-BG"/>
        </w:rPr>
        <w:t>подобрение на сигурността, целостта, конфиденциалността, наличността и приложимото право.</w:t>
      </w:r>
    </w:p>
    <w:p w14:paraId="6C6BF47E" w14:textId="498990D9" w:rsidR="00531848" w:rsidRPr="002256C7" w:rsidRDefault="001824DB" w:rsidP="00901720">
      <w:pPr>
        <w:widowControl w:val="0"/>
        <w:tabs>
          <w:tab w:val="left" w:pos="1127"/>
        </w:tabs>
        <w:autoSpaceDE w:val="0"/>
        <w:autoSpaceDN w:val="0"/>
        <w:ind w:left="284" w:firstLine="567"/>
        <w:rPr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Fonts w:ascii="Times New Roman" w:hAnsi="Times New Roman" w:cs="Times New Roman"/>
          <w:sz w:val="26"/>
          <w:szCs w:val="26"/>
          <w:lang w:val="bg-BG"/>
        </w:rPr>
        <w:t>Съответствието с регламента защитава както интересите на Университета, така и на субектите,</w:t>
      </w:r>
      <w:r w:rsidR="002256C7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Fonts w:ascii="Times New Roman" w:hAnsi="Times New Roman" w:cs="Times New Roman"/>
          <w:sz w:val="26"/>
          <w:szCs w:val="26"/>
          <w:lang w:val="bg-BG"/>
        </w:rPr>
        <w:t>чиито ЛД се администрират от него.</w:t>
      </w:r>
    </w:p>
    <w:p w14:paraId="065CB435" w14:textId="77777777" w:rsidR="002256C7" w:rsidRDefault="002256C7" w:rsidP="001824DB">
      <w:pPr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52A99F4D" w14:textId="07E6C198" w:rsidR="001824DB" w:rsidRPr="002256C7" w:rsidRDefault="001824DB" w:rsidP="001824DB">
      <w:pPr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5.2.</w:t>
      </w:r>
      <w:r w:rsidR="001313A9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ОПРЕДЕЛЕНИЕ</w:t>
      </w:r>
    </w:p>
    <w:p w14:paraId="1F36A3CD" w14:textId="6F137C02" w:rsidR="001824DB" w:rsidRPr="002256C7" w:rsidRDefault="001824DB" w:rsidP="00901720">
      <w:pPr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DPIA представлява процес, чиято цел е да опише обработването на ЛД, да оцени неговата</w:t>
      </w:r>
      <w:r w:rsid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необходимост и пропорционалност и да спомогне за управлението на рисковете за правата и</w:t>
      </w:r>
      <w:r w:rsid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свободите на субектите на данни, произтичащи от това обработването, като ги оцени и определи</w:t>
      </w:r>
      <w:r w:rsid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мерки за справяне с тези рискове. DPIA е важен инструмент за отчетност, тъй като помага на</w:t>
      </w:r>
      <w:r w:rsid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организацията да е в съответствие с изискванията на GDPR и да демонстрира, че са предприети</w:t>
      </w:r>
      <w:r w:rsid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подходящи мерки за непрекъснатото гарантиране на това съответствие.</w:t>
      </w:r>
    </w:p>
    <w:p w14:paraId="0E36C4F8" w14:textId="77777777" w:rsidR="001824DB" w:rsidRPr="002256C7" w:rsidRDefault="001824DB" w:rsidP="00952DB7">
      <w:pPr>
        <w:ind w:left="567" w:firstLine="284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Типовете ЛД, обработвани и администрирани от Университета могат да бъдат:</w:t>
      </w:r>
    </w:p>
    <w:p w14:paraId="63013380" w14:textId="10196C6D" w:rsidR="001824DB" w:rsidRPr="001C2F18" w:rsidRDefault="001824DB" w:rsidP="00901720">
      <w:pPr>
        <w:pStyle w:val="ListParagraph"/>
        <w:numPr>
          <w:ilvl w:val="1"/>
          <w:numId w:val="17"/>
        </w:numPr>
        <w:ind w:left="284" w:firstLine="709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Общи лични данни - означава всяка информация, свързана с идентифицирано физическо</w:t>
      </w:r>
      <w:r w:rsidR="002256C7"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лице или физическо лице, което може да бъде идентифицирано („субект на данни“); физическо лице,</w:t>
      </w:r>
      <w:r w:rsidR="002256C7"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което може да бъде идентифицирано, е лице, което може да бъде идентифицирано, пряко или</w:t>
      </w:r>
      <w:r w:rsidR="002256C7"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непряко, по-специално чрез идентификатор като име, идентификационен номер, данни за</w:t>
      </w:r>
      <w:r w:rsidR="00D55E4E"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местонахождение, онлайн идентификатор или по един или повече признаци, специфични за</w:t>
      </w:r>
      <w:r w:rsidR="00D55E4E"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физическата, физиологичната, генетичната, психическата, умствената, икономическата, културната</w:t>
      </w:r>
      <w:r w:rsidR="00D55E4E"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>или социална идентичност на това физическо лице;</w:t>
      </w:r>
    </w:p>
    <w:p w14:paraId="490D9049" w14:textId="5F171CD4" w:rsidR="001824DB" w:rsidRPr="00F13C40" w:rsidRDefault="001824DB" w:rsidP="00901720">
      <w:pPr>
        <w:pStyle w:val="ListParagraph"/>
        <w:numPr>
          <w:ilvl w:val="2"/>
          <w:numId w:val="17"/>
        </w:numPr>
        <w:ind w:left="284" w:firstLine="709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F13C40">
        <w:rPr>
          <w:rStyle w:val="hps"/>
          <w:rFonts w:ascii="Times New Roman" w:hAnsi="Times New Roman" w:cs="Times New Roman"/>
          <w:sz w:val="26"/>
          <w:szCs w:val="26"/>
          <w:lang w:val="bg-BG"/>
        </w:rPr>
        <w:t>Чувствителни лични данни - разкриващи расов или етнически произход, политически</w:t>
      </w:r>
      <w:r w:rsidR="00D55E4E" w:rsidRPr="00F13C40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F13C40">
        <w:rPr>
          <w:rStyle w:val="hps"/>
          <w:rFonts w:ascii="Times New Roman" w:hAnsi="Times New Roman" w:cs="Times New Roman"/>
          <w:sz w:val="26"/>
          <w:szCs w:val="26"/>
          <w:lang w:val="bg-BG"/>
        </w:rPr>
        <w:t>възгледи, религиозни или философски убеждения или членство в синдикални организации, както и</w:t>
      </w:r>
      <w:r w:rsidR="00D55E4E" w:rsidRPr="00F13C40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F13C40">
        <w:rPr>
          <w:rStyle w:val="hps"/>
          <w:rFonts w:ascii="Times New Roman" w:hAnsi="Times New Roman" w:cs="Times New Roman"/>
          <w:sz w:val="26"/>
          <w:szCs w:val="26"/>
          <w:lang w:val="bg-BG"/>
        </w:rPr>
        <w:t>обработването на генетични данни, биометрични данни за целите единствено на идентифицирането</w:t>
      </w:r>
      <w:r w:rsidR="00D55E4E" w:rsidRPr="00F13C40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F13C40">
        <w:rPr>
          <w:rStyle w:val="hps"/>
          <w:rFonts w:ascii="Times New Roman" w:hAnsi="Times New Roman" w:cs="Times New Roman"/>
          <w:sz w:val="26"/>
          <w:szCs w:val="26"/>
          <w:lang w:val="bg-BG"/>
        </w:rPr>
        <w:t>на физическо лице, данни за здравословното състояние или данни за сексуалния живот или</w:t>
      </w:r>
      <w:r w:rsidR="00D55E4E" w:rsidRPr="00F13C40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F13C40">
        <w:rPr>
          <w:rStyle w:val="hps"/>
          <w:rFonts w:ascii="Times New Roman" w:hAnsi="Times New Roman" w:cs="Times New Roman"/>
          <w:sz w:val="26"/>
          <w:szCs w:val="26"/>
          <w:lang w:val="bg-BG"/>
        </w:rPr>
        <w:t>сексуалната ориентация на физическото лице.</w:t>
      </w:r>
    </w:p>
    <w:p w14:paraId="28652599" w14:textId="77777777" w:rsidR="001824DB" w:rsidRPr="002256C7" w:rsidRDefault="001824DB" w:rsidP="00D55E4E">
      <w:pPr>
        <w:ind w:left="567" w:firstLine="426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Сигурността на ЛД се характеризира като запазване на:</w:t>
      </w:r>
    </w:p>
    <w:p w14:paraId="459236B5" w14:textId="2B1DBF06" w:rsidR="001824DB" w:rsidRPr="008122F2" w:rsidRDefault="001824DB" w:rsidP="00901720">
      <w:pPr>
        <w:pStyle w:val="ListParagraph"/>
        <w:numPr>
          <w:ilvl w:val="0"/>
          <w:numId w:val="26"/>
        </w:numPr>
        <w:ind w:left="284" w:firstLine="709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8122F2">
        <w:rPr>
          <w:rStyle w:val="hps"/>
          <w:rFonts w:ascii="Times New Roman" w:hAnsi="Times New Roman" w:cs="Times New Roman"/>
          <w:sz w:val="26"/>
          <w:szCs w:val="26"/>
          <w:lang w:val="bg-BG"/>
        </w:rPr>
        <w:t>Конфиденциалност: ЛД са достъпни само за тези, които са упълномощени да имат достъп</w:t>
      </w:r>
      <w:r w:rsidR="008122F2" w:rsidRPr="008122F2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8122F2">
        <w:rPr>
          <w:rStyle w:val="hps"/>
          <w:rFonts w:ascii="Times New Roman" w:hAnsi="Times New Roman" w:cs="Times New Roman"/>
          <w:sz w:val="26"/>
          <w:szCs w:val="26"/>
          <w:lang w:val="bg-BG"/>
        </w:rPr>
        <w:t>до тях;</w:t>
      </w:r>
    </w:p>
    <w:p w14:paraId="44380928" w14:textId="4AC07032" w:rsidR="001824DB" w:rsidRPr="008122F2" w:rsidRDefault="001824DB" w:rsidP="00901720">
      <w:pPr>
        <w:pStyle w:val="ListParagraph"/>
        <w:numPr>
          <w:ilvl w:val="0"/>
          <w:numId w:val="28"/>
        </w:numPr>
        <w:ind w:left="284" w:firstLine="643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8122F2">
        <w:rPr>
          <w:rStyle w:val="hps"/>
          <w:rFonts w:ascii="Times New Roman" w:hAnsi="Times New Roman" w:cs="Times New Roman"/>
          <w:sz w:val="26"/>
          <w:szCs w:val="26"/>
          <w:lang w:val="bg-BG"/>
        </w:rPr>
        <w:t>Цялостност: гарантиране на точността и пълнотата на ЛД и на методите за тяхната</w:t>
      </w:r>
      <w:r w:rsidR="00D55E4E" w:rsidRPr="008122F2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8122F2">
        <w:rPr>
          <w:rStyle w:val="hps"/>
          <w:rFonts w:ascii="Times New Roman" w:hAnsi="Times New Roman" w:cs="Times New Roman"/>
          <w:sz w:val="26"/>
          <w:szCs w:val="26"/>
          <w:lang w:val="bg-BG"/>
        </w:rPr>
        <w:t>обработка;</w:t>
      </w:r>
    </w:p>
    <w:p w14:paraId="6311F266" w14:textId="28F5CD15" w:rsidR="001824DB" w:rsidRPr="008122F2" w:rsidRDefault="001824DB" w:rsidP="00901720">
      <w:pPr>
        <w:pStyle w:val="ListParagraph"/>
        <w:numPr>
          <w:ilvl w:val="0"/>
          <w:numId w:val="30"/>
        </w:numPr>
        <w:ind w:left="284" w:firstLine="643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8122F2">
        <w:rPr>
          <w:rStyle w:val="hps"/>
          <w:rFonts w:ascii="Times New Roman" w:hAnsi="Times New Roman" w:cs="Times New Roman"/>
          <w:sz w:val="26"/>
          <w:szCs w:val="26"/>
          <w:lang w:val="bg-BG"/>
        </w:rPr>
        <w:t>Наличност: винаги, когато е необходимо упълномощените потребители имат наличен</w:t>
      </w:r>
      <w:r w:rsidR="00D55E4E" w:rsidRPr="008122F2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8122F2">
        <w:rPr>
          <w:rStyle w:val="hps"/>
          <w:rFonts w:ascii="Times New Roman" w:hAnsi="Times New Roman" w:cs="Times New Roman"/>
          <w:sz w:val="26"/>
          <w:szCs w:val="26"/>
          <w:lang w:val="bg-BG"/>
        </w:rPr>
        <w:t>достъп до ЛД;</w:t>
      </w:r>
    </w:p>
    <w:p w14:paraId="428D0D6B" w14:textId="60517A03" w:rsidR="001824DB" w:rsidRPr="008122F2" w:rsidRDefault="001824DB" w:rsidP="00901720">
      <w:pPr>
        <w:pStyle w:val="ListParagraph"/>
        <w:numPr>
          <w:ilvl w:val="0"/>
          <w:numId w:val="32"/>
        </w:numPr>
        <w:ind w:left="284" w:firstLine="643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8122F2">
        <w:rPr>
          <w:rStyle w:val="hps"/>
          <w:rFonts w:ascii="Times New Roman" w:hAnsi="Times New Roman" w:cs="Times New Roman"/>
          <w:sz w:val="26"/>
          <w:szCs w:val="26"/>
          <w:lang w:val="bg-BG"/>
        </w:rPr>
        <w:lastRenderedPageBreak/>
        <w:t>Правно съответствие: ЛД се обработват в съответствие с изискванията на GDPR.</w:t>
      </w:r>
    </w:p>
    <w:p w14:paraId="75CC547D" w14:textId="77777777" w:rsidR="00D55E4E" w:rsidRDefault="00D55E4E" w:rsidP="001824DB">
      <w:pPr>
        <w:ind w:left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</w:p>
    <w:p w14:paraId="593F201E" w14:textId="77777777" w:rsidR="00D55E4E" w:rsidRPr="00D55E4E" w:rsidRDefault="001824DB" w:rsidP="00901720">
      <w:pPr>
        <w:ind w:left="284" w:firstLine="709"/>
        <w:rPr>
          <w:rStyle w:val="hps"/>
          <w:rFonts w:ascii="Times New Roman" w:hAnsi="Times New Roman" w:cs="Times New Roman"/>
          <w:i/>
          <w:sz w:val="26"/>
          <w:szCs w:val="26"/>
          <w:lang w:val="bg-BG"/>
        </w:rPr>
      </w:pPr>
      <w:r w:rsidRPr="00D55E4E">
        <w:rPr>
          <w:rStyle w:val="hps"/>
          <w:rFonts w:ascii="Times New Roman" w:hAnsi="Times New Roman" w:cs="Times New Roman"/>
          <w:i/>
          <w:sz w:val="26"/>
          <w:szCs w:val="26"/>
          <w:lang w:val="bg-BG"/>
        </w:rPr>
        <w:t>Съгласно GDPR, ако не бъде извършена DPIA, когато обработването подлежи на такава,</w:t>
      </w:r>
      <w:r w:rsidR="00D55E4E" w:rsidRPr="00D55E4E">
        <w:rPr>
          <w:rStyle w:val="hps"/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Pr="00D55E4E">
        <w:rPr>
          <w:rStyle w:val="hps"/>
          <w:rFonts w:ascii="Times New Roman" w:hAnsi="Times New Roman" w:cs="Times New Roman"/>
          <w:i/>
          <w:sz w:val="26"/>
          <w:szCs w:val="26"/>
          <w:lang w:val="bg-BG"/>
        </w:rPr>
        <w:t>ако бъде извършена неправилно или ако не бъде проведена консултация с компетентния</w:t>
      </w:r>
      <w:r w:rsidR="00D55E4E" w:rsidRPr="00D55E4E">
        <w:rPr>
          <w:rStyle w:val="hps"/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Pr="00D55E4E">
        <w:rPr>
          <w:rStyle w:val="hps"/>
          <w:rFonts w:ascii="Times New Roman" w:hAnsi="Times New Roman" w:cs="Times New Roman"/>
          <w:i/>
          <w:sz w:val="26"/>
          <w:szCs w:val="26"/>
          <w:lang w:val="bg-BG"/>
        </w:rPr>
        <w:t>надзорен орган (КЗЛД), когато това се изисква, това може да доведе до налагане на</w:t>
      </w:r>
      <w:r w:rsidR="00D55E4E" w:rsidRPr="00D55E4E">
        <w:rPr>
          <w:rStyle w:val="hps"/>
          <w:rFonts w:ascii="Times New Roman" w:hAnsi="Times New Roman" w:cs="Times New Roman"/>
          <w:i/>
          <w:sz w:val="26"/>
          <w:szCs w:val="26"/>
          <w:lang w:val="bg-BG"/>
        </w:rPr>
        <w:t xml:space="preserve"> </w:t>
      </w:r>
      <w:r w:rsidRPr="00D55E4E">
        <w:rPr>
          <w:rStyle w:val="hps"/>
          <w:rFonts w:ascii="Times New Roman" w:hAnsi="Times New Roman" w:cs="Times New Roman"/>
          <w:i/>
          <w:sz w:val="26"/>
          <w:szCs w:val="26"/>
          <w:lang w:val="bg-BG"/>
        </w:rPr>
        <w:t>административна глоба на организацията.</w:t>
      </w:r>
      <w:r w:rsidRPr="00D55E4E">
        <w:rPr>
          <w:rStyle w:val="hps"/>
          <w:rFonts w:ascii="Times New Roman" w:hAnsi="Times New Roman" w:cs="Times New Roman"/>
          <w:i/>
          <w:sz w:val="26"/>
          <w:szCs w:val="26"/>
          <w:lang w:val="bg-BG"/>
        </w:rPr>
        <w:cr/>
      </w:r>
    </w:p>
    <w:p w14:paraId="07F725C9" w14:textId="73573AE6" w:rsidR="001824DB" w:rsidRPr="002256C7" w:rsidRDefault="001824DB" w:rsidP="00D55E4E">
      <w:pPr>
        <w:ind w:left="567" w:firstLine="426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5.3.</w:t>
      </w:r>
      <w:r w:rsidR="001313A9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ОБХВАТ НА DPIA</w:t>
      </w:r>
    </w:p>
    <w:p w14:paraId="57D5D3AF" w14:textId="449B6AB4" w:rsidR="001824DB" w:rsidRPr="002256C7" w:rsidRDefault="001824DB" w:rsidP="00901720">
      <w:pPr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ТрУ въвежда подходящи мерки, за да гарантира и докаже спазването на GDPR, като взема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предвид рисковете с различна вероятност и тежест за правата и свободите на физическите лица.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Извършването на DPIA от Университета, следва да се разбира в контекста на общото й задължение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да управлява по подходящ начин рисковете, породени от обработването на ЛД.</w:t>
      </w:r>
    </w:p>
    <w:p w14:paraId="161CA765" w14:textId="58D15F39" w:rsidR="001824DB" w:rsidRPr="002256C7" w:rsidRDefault="001824DB" w:rsidP="00901720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 съответствие с основания на анализ на риска подход, извършването на DPIA не е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задължително за всяка операция по обработване на ЛД. Тя се изисква само когато съществува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вероятност обработването да породи висок риск за правата и свободите на субектите на данни.</w:t>
      </w:r>
    </w:p>
    <w:p w14:paraId="3B8C4F8C" w14:textId="62564510" w:rsidR="001824DB" w:rsidRPr="002256C7" w:rsidRDefault="001824DB" w:rsidP="00901720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425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„Риск“ означава неблагоприятен сценарий, описващ дадено събитие и неговите последици,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оценени от гледна точка на тяхната тежест и вероятност. „Управлението на риска“ може да се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определи като координирани дейности за ръководене и контролиране на процесите във връзка с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риска, който те пораждат. С цел управление на рисковете за правата и свободите на физическите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лица тези рискове трябва редовно да се идентифицират, анализират, преценяват, оценяват,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третират (напр. като се премахват, ограничават, смекчават и т.н.) и преразглеждат.</w:t>
      </w:r>
    </w:p>
    <w:p w14:paraId="756D7A1D" w14:textId="01C75692" w:rsidR="001824DB" w:rsidRPr="002256C7" w:rsidRDefault="001824DB" w:rsidP="00901720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Разглеждането на „правата и свободите“ на субектите на данни е свързано най-вече с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правата за защитата на личните данни и неприкосновеността на личния живот, но може да включва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 други основни права, като например свободата на словото, свободата на мисълта, свободата на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движение, забраната за дискриминация, правото на свобода и свободата на съвестта и религията.</w:t>
      </w:r>
    </w:p>
    <w:p w14:paraId="4C65F31C" w14:textId="32F2DE51" w:rsidR="009F1E47" w:rsidRPr="002256C7" w:rsidRDefault="001824DB" w:rsidP="00901720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Една DPIA може да е свързана с една единствена операция по обработване на ЛД, но може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да оценява и множество такива операции, които са сходни по своето естество, контекст, цел и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рискове. DPIA също така може да бъде изготвена за оценяване на въздействието върху защитата на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данните на даден технологичен продукт, например хардуер или софтуер. Извършването на DPIA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цели систематичното проучване на нови ситуации. В този смисъл тя трябва да бъде извършвана при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всяко внедряване на нови технологии и процеси по обработване на ЛД или промяна във вече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съществуващи такива, когато това би могло да доведе до висок риск за правата и свободите на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субектите на ЛД.</w:t>
      </w:r>
    </w:p>
    <w:p w14:paraId="5E4EA350" w14:textId="77777777" w:rsidR="00255CBC" w:rsidRDefault="00255CBC" w:rsidP="001824DB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3DCC185F" w14:textId="31A822CE" w:rsidR="001824DB" w:rsidRPr="002256C7" w:rsidRDefault="001824DB" w:rsidP="001824DB">
      <w:pPr>
        <w:pStyle w:val="ListParagraph"/>
        <w:widowControl w:val="0"/>
        <w:tabs>
          <w:tab w:val="left" w:pos="1127"/>
        </w:tabs>
        <w:autoSpaceDE w:val="0"/>
        <w:autoSpaceDN w:val="0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5.4.</w:t>
      </w:r>
      <w:r w:rsidR="001313A9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КОГА СЕ ИЗВЪРШВА DPIA</w:t>
      </w:r>
    </w:p>
    <w:p w14:paraId="6EAF52A9" w14:textId="4927AB37" w:rsidR="001824DB" w:rsidRPr="002256C7" w:rsidRDefault="001824DB" w:rsidP="00901720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Университетът непрекъснато оценява рисковете, които се пораждат от неговите дейности, за</w:t>
      </w:r>
      <w:r w:rsidR="00255CBC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да идентифицира кога съществува вероятност определен вид обработване да породи висок риск за</w:t>
      </w:r>
      <w:r w:rsidR="002E6BF6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правата и свободите на субектите на данни.</w:t>
      </w:r>
    </w:p>
    <w:p w14:paraId="2C48B721" w14:textId="235012A0" w:rsidR="001824DB" w:rsidRPr="002256C7" w:rsidRDefault="001824DB" w:rsidP="00901720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 влизането в сила на GDPR, за ТрУ възниква задължението на първо място да бъде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lastRenderedPageBreak/>
        <w:t>извършена DPIA за всички настоящи процеси по обработване на ЛД.</w:t>
      </w:r>
    </w:p>
    <w:p w14:paraId="3A33089E" w14:textId="44DCF8F0" w:rsidR="001824DB" w:rsidRPr="002256C7" w:rsidRDefault="001824DB" w:rsidP="00901720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При внедряване на нов процес по обработване на ЛД или промяна на вече съществуващ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такъв, следва да бъде извършена първоначална оценка на риска, резултатът от която води до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решение, необходимо ли е извършването на пълна DPIA за конкретния процес или не.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Първоначалната оценка се извършва от ръководителя на отдела/звеното, инициирал промяната или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внедряването на новия процес по обработване. За осъществяване на първоначалната оценка той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може да поиска допълнителна информация или съдействие от други служители и/или отдели в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организацията. Изготвянето на първоначалната оценка на риска се извършва съгласно приетата в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организацията Методология за оценка на риска при обработване на лични данни.</w:t>
      </w:r>
    </w:p>
    <w:p w14:paraId="11EF0C8D" w14:textId="74222799" w:rsidR="001824DB" w:rsidRPr="002256C7" w:rsidRDefault="001824DB" w:rsidP="00901720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Така изготвената първоначална оценка се представя пред DPO, който я анализира и взема</w:t>
      </w:r>
      <w:r w:rsidR="00952DB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решение подлежи ли процеса на пълна DPIA или не. За вземането на това решение DPO също може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да поиска допълнителна информация или съдействие от други служители и/или отдели в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организацията.</w:t>
      </w:r>
    </w:p>
    <w:p w14:paraId="67A19E42" w14:textId="2DE30D80" w:rsidR="001824DB" w:rsidRPr="002256C7" w:rsidRDefault="001824DB" w:rsidP="00901720">
      <w:pPr>
        <w:pStyle w:val="ListParagraph"/>
        <w:widowControl w:val="0"/>
        <w:tabs>
          <w:tab w:val="left" w:pos="1127"/>
        </w:tabs>
        <w:autoSpaceDE w:val="0"/>
        <w:autoSpaceDN w:val="0"/>
        <w:ind w:left="284" w:firstLine="709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DPIA следва да бъде извършена преди започване на процеса по обработването и/или</w:t>
      </w:r>
      <w:r w:rsidR="00952DB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въвеждането в експлоатация на нова технология (хардуер / софтуер), участваща в процеса по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обработване на ЛД. Това съответства на принципите за защита на данните на етап проектиране и по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подразбиране</w:t>
      </w:r>
    </w:p>
    <w:p w14:paraId="0691E5D4" w14:textId="65B5DEB8" w:rsidR="001824DB" w:rsidRPr="002256C7" w:rsidRDefault="001824DB" w:rsidP="00901720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Извършването на DPIA следва да започне на възможно най-ранен етап от проектирането на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операцията по обработване, дори ако някои от операциите по обработване все още не са известни.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Актуализирането на DPIA през целия жизнен цикъл на проекта гарантира, че се отчита цялостното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въздействие от обработката, както върху организацията така и върху субектите на данни. Освен това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е възможна необходимостта да се повторят отделни стъпки от оценката с напредването на процеса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по разработване, защото подборът на определени технически или организационни мерки може да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окаже въздействие върху тежестта и вероятността на рисковете, породени от обработването.</w:t>
      </w:r>
    </w:p>
    <w:p w14:paraId="7E2C4ED0" w14:textId="25058C2A" w:rsidR="009F1E47" w:rsidRPr="002256C7" w:rsidRDefault="001824DB" w:rsidP="00901720">
      <w:pPr>
        <w:pStyle w:val="ListParagraph"/>
        <w:ind w:left="284" w:firstLine="709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Налагането на актуализиране на DPIA след реалното започване на обработването, не е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основателна причина да се отложи или да не се извърши DPIA. DPIA е текущ процес, особено когато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операцията по обработване е динамична и подлежи на промени. Извършването на DPIA е</w:t>
      </w:r>
      <w:r w:rsidR="00952DB7" w:rsidRPr="00952DB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постоянен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процес, а не еднократно действие.</w:t>
      </w:r>
    </w:p>
    <w:p w14:paraId="528CC228" w14:textId="77777777" w:rsidR="006B4ECD" w:rsidRDefault="006B4ECD" w:rsidP="001824DB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1F048632" w14:textId="6D7CE504" w:rsidR="001824DB" w:rsidRPr="002256C7" w:rsidRDefault="001824DB" w:rsidP="001824DB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5.5.</w:t>
      </w:r>
      <w:r w:rsidR="001313A9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КОЙ ИЗВЪРШВА DPIA</w:t>
      </w:r>
    </w:p>
    <w:p w14:paraId="029B9706" w14:textId="5986201E" w:rsidR="001824DB" w:rsidRPr="002256C7" w:rsidRDefault="001824DB" w:rsidP="00901720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Университет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>ът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, в ролята си на администратор на ЛД носи отговорност да гарантира, че се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извършва DPIA. Ако Университета е възложил обработването на ЛД, изцяло или частично на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подизпълнител, то той в ролята си на обработващ ЛД, следва да подпомага администратора при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извършването на DPIA и да предостави цялата необходима за това информация.</w:t>
      </w:r>
    </w:p>
    <w:p w14:paraId="0A883406" w14:textId="3A2864B3" w:rsidR="001824DB" w:rsidRPr="002256C7" w:rsidRDefault="001824DB" w:rsidP="00901720">
      <w:pPr>
        <w:pStyle w:val="ListParagraph"/>
        <w:ind w:left="284" w:firstLine="284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Изготвянето на пълна DPIA се извършва от работната група по защита на ЛД, DPO и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ръководителя на отдела, иницииращ внедряването на новия процес или промяна на вече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съществуващия такъв. Работната група по защита на ЛД e предварително определена и за нейни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членове са избрани служители от Университета, притежаващи необходимите компетенции в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сферата на защита на ЛД. Изготвянето на DPIA се извършва съгласно приетата в организацията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Методология за оценка на риска при обработване на лични данни.</w:t>
      </w:r>
    </w:p>
    <w:p w14:paraId="52559437" w14:textId="71D0C43A" w:rsidR="001824DB" w:rsidRPr="002256C7" w:rsidRDefault="001824DB" w:rsidP="00901720">
      <w:pPr>
        <w:pStyle w:val="ListParagraph"/>
        <w:ind w:left="284" w:firstLine="567"/>
        <w:rPr>
          <w:rStyle w:val="hps"/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lastRenderedPageBreak/>
        <w:t>Когато е необходимо/целесъобразно може да се потърси становище на независими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експерти от различни области (адвокати, ИТ експерти, експерти по сигурността, социолози, експерти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по етични стандарти и др.).</w:t>
      </w:r>
    </w:p>
    <w:p w14:paraId="5EEB8B71" w14:textId="77777777" w:rsidR="006B4ECD" w:rsidRDefault="006B4ECD" w:rsidP="001824DB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1AAEFACB" w14:textId="621E3024" w:rsidR="001824DB" w:rsidRPr="002256C7" w:rsidRDefault="001824DB" w:rsidP="001824DB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5.6.</w:t>
      </w:r>
      <w:r w:rsidR="001313A9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СТАНОВИЩЕ НА СУБЕКТИТЕ НА ДАННИ</w:t>
      </w:r>
    </w:p>
    <w:p w14:paraId="31B392FD" w14:textId="6246B2D4" w:rsidR="001824DB" w:rsidRPr="002256C7" w:rsidRDefault="001824DB" w:rsidP="00901720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Когато е целесъобразно, ТрУ следва да се обръща към субектите на данни или техни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представители за становище относно планираното обработване на ЛД. Тези становища могат да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бъдат потърсени по различни начини в зависимост от контекста (напр. чрез общо проучване,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въпросници, анкети сред клиенти, запитване към представителите на персонала и т.н.). В случай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>,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че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Университетът е събрал становища от субектите на данни, но въпреки това окончателното му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решение се различава от тях, то причините за това решение следва да бъдат подходящо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обосновани и документирани.</w:t>
      </w:r>
    </w:p>
    <w:p w14:paraId="76D0CF5D" w14:textId="152A67FB" w:rsidR="001824DB" w:rsidRPr="002256C7" w:rsidRDefault="001824DB" w:rsidP="00901720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ТрУ, също така следва да документира своята обосновка да не потърси становищата на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субектите на данни, ако реши, че това не е целесъобразно, например ако би изложило на риск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поверителна информация или би било непропорционално или непрактично.</w:t>
      </w:r>
    </w:p>
    <w:p w14:paraId="650A4134" w14:textId="20129A20" w:rsidR="001824DB" w:rsidRPr="002256C7" w:rsidRDefault="001824DB" w:rsidP="00901720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Преценката дали е целесъобразно да бъде потърсено становището на субектите на данни се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извършва от Ректора на ТрУ след обсъждане с DPO.</w:t>
      </w:r>
    </w:p>
    <w:p w14:paraId="321FD4CB" w14:textId="77777777" w:rsidR="006B4ECD" w:rsidRDefault="006B4ECD" w:rsidP="001824DB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691E63DC" w14:textId="7A323CA6" w:rsidR="001824DB" w:rsidRPr="002256C7" w:rsidRDefault="001824DB" w:rsidP="001824DB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5.7.</w:t>
      </w:r>
      <w:r w:rsidR="001313A9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КРИТЕРИИ</w:t>
      </w:r>
    </w:p>
    <w:p w14:paraId="22BE0DD7" w14:textId="0B9A552F" w:rsidR="001824DB" w:rsidRPr="002256C7" w:rsidRDefault="001824DB" w:rsidP="00901720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Оценката на риска за ЛД е ключов процес при управлението им. Без такава оценка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организацията не може да идентифицира:</w:t>
      </w:r>
    </w:p>
    <w:p w14:paraId="7025C8EB" w14:textId="6E9B9462" w:rsidR="001824DB" w:rsidRPr="002256C7" w:rsidRDefault="001824DB" w:rsidP="00C37D73">
      <w:pPr>
        <w:pStyle w:val="ListParagraph"/>
        <w:numPr>
          <w:ilvl w:val="0"/>
          <w:numId w:val="34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ЛД, подлежащи на защита (третиране);</w:t>
      </w:r>
    </w:p>
    <w:p w14:paraId="7499DB13" w14:textId="056B2AD9" w:rsidR="001824DB" w:rsidRPr="002256C7" w:rsidRDefault="001824DB" w:rsidP="00C37D73">
      <w:pPr>
        <w:pStyle w:val="ListParagraph"/>
        <w:numPr>
          <w:ilvl w:val="0"/>
          <w:numId w:val="35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системите, към които тази защита трябва да бъде приложена;</w:t>
      </w:r>
    </w:p>
    <w:p w14:paraId="49D012EF" w14:textId="6E0D7EFC" w:rsidR="001824DB" w:rsidRPr="002256C7" w:rsidRDefault="001824DB" w:rsidP="00C37D73">
      <w:pPr>
        <w:pStyle w:val="ListParagraph"/>
        <w:numPr>
          <w:ilvl w:val="0"/>
          <w:numId w:val="36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необходимите ресурси;</w:t>
      </w:r>
    </w:p>
    <w:p w14:paraId="155891DF" w14:textId="1DE7B904" w:rsidR="004450E3" w:rsidRPr="002256C7" w:rsidRDefault="004450E3" w:rsidP="00901720">
      <w:pPr>
        <w:pStyle w:val="ListParagraph"/>
        <w:numPr>
          <w:ilvl w:val="0"/>
          <w:numId w:val="37"/>
        </w:numPr>
        <w:ind w:left="284" w:firstLine="632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оперативните ограничения, които организацията смята за подходящи за намаляването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на риска до приемливо ниво.</w:t>
      </w:r>
    </w:p>
    <w:p w14:paraId="01E0CCEB" w14:textId="77777777" w:rsidR="004450E3" w:rsidRPr="002256C7" w:rsidRDefault="004450E3" w:rsidP="006B4ECD">
      <w:pPr>
        <w:pStyle w:val="ListParagraph"/>
        <w:ind w:left="567" w:firstLine="284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Минимално необходимите реквизити, които трябва да съдържа една DPIA са:</w:t>
      </w:r>
    </w:p>
    <w:p w14:paraId="39C5B318" w14:textId="4A5C9B9A" w:rsidR="004450E3" w:rsidRPr="002256C7" w:rsidRDefault="004450E3" w:rsidP="00901720">
      <w:pPr>
        <w:pStyle w:val="ListParagraph"/>
        <w:numPr>
          <w:ilvl w:val="0"/>
          <w:numId w:val="37"/>
        </w:numPr>
        <w:ind w:left="284" w:firstLine="643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Системен опис на предвидените операции по обработване и целите на обработването,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включително, ако е приложимо, преследвания от организацията законен интерес;</w:t>
      </w:r>
    </w:p>
    <w:p w14:paraId="3C7E4625" w14:textId="12D8E477" w:rsidR="004450E3" w:rsidRPr="002256C7" w:rsidRDefault="004450E3" w:rsidP="00901720">
      <w:pPr>
        <w:pStyle w:val="ListParagraph"/>
        <w:numPr>
          <w:ilvl w:val="0"/>
          <w:numId w:val="37"/>
        </w:numPr>
        <w:ind w:left="284" w:firstLine="643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Оценка на необходимостта и пропорционалността на операциите по обработване по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отношение на целите;</w:t>
      </w:r>
    </w:p>
    <w:p w14:paraId="5355CA97" w14:textId="6C4EE073" w:rsidR="004450E3" w:rsidRPr="002256C7" w:rsidRDefault="004450E3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Оценка на рисковете за правата и свободите на субектите на данни;</w:t>
      </w:r>
    </w:p>
    <w:p w14:paraId="34039D17" w14:textId="23322ABF" w:rsidR="004450E3" w:rsidRPr="002256C7" w:rsidRDefault="004450E3" w:rsidP="00901720">
      <w:pPr>
        <w:pStyle w:val="ListParagraph"/>
        <w:numPr>
          <w:ilvl w:val="0"/>
          <w:numId w:val="37"/>
        </w:numPr>
        <w:ind w:left="284" w:firstLine="643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Мерките, предвидени за справяне с рисковете, включително гаранциите, мерките за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сигурност и механизмите за осигуряване на защитата на ЛД.</w:t>
      </w:r>
    </w:p>
    <w:p w14:paraId="15CF4CF4" w14:textId="77777777" w:rsidR="006B4ECD" w:rsidRDefault="006B4ECD" w:rsidP="004450E3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09AE447D" w14:textId="392A7310" w:rsidR="004450E3" w:rsidRPr="002256C7" w:rsidRDefault="004450E3" w:rsidP="004450E3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5.8.</w:t>
      </w:r>
      <w:r w:rsidR="00952DB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ОТЧЕТНОСТ НА ПРОЦЕСА ПО DPIA</w:t>
      </w:r>
    </w:p>
    <w:p w14:paraId="7D862DAC" w14:textId="77777777" w:rsidR="004450E3" w:rsidRPr="006B4ECD" w:rsidRDefault="004450E3" w:rsidP="006B4ECD">
      <w:pPr>
        <w:pStyle w:val="ListParagraph"/>
        <w:ind w:left="567" w:firstLine="284"/>
        <w:rPr>
          <w:rStyle w:val="hps"/>
          <w:rFonts w:ascii="Times New Roman" w:hAnsi="Times New Roman" w:cs="Times New Roman"/>
          <w:sz w:val="26"/>
          <w:szCs w:val="26"/>
          <w:u w:val="single"/>
          <w:lang w:val="bg-BG"/>
        </w:rPr>
      </w:pPr>
      <w:r w:rsidRP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>Резултатите от оценката на риска за ЛД служат при определяне:</w:t>
      </w:r>
    </w:p>
    <w:p w14:paraId="1F931D84" w14:textId="2FDDE006" w:rsidR="004450E3" w:rsidRPr="002256C7" w:rsidRDefault="004450E3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заплахите вътрешни и външни вектори;</w:t>
      </w:r>
    </w:p>
    <w:p w14:paraId="69E01882" w14:textId="5A149DD6" w:rsidR="004450E3" w:rsidRPr="002256C7" w:rsidRDefault="004450E3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вероятността тези заплахи да се случат;</w:t>
      </w:r>
    </w:p>
    <w:p w14:paraId="55191EF9" w14:textId="5A1B5FD5" w:rsidR="004450E3" w:rsidRPr="002256C7" w:rsidRDefault="004450E3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въздействието върху Организацията.</w:t>
      </w:r>
    </w:p>
    <w:p w14:paraId="552C0062" w14:textId="188AAE7C" w:rsidR="004450E3" w:rsidRPr="002256C7" w:rsidRDefault="004450E3" w:rsidP="00952DB7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След извършване на оценката на риска, Университетът избира подходящата стратегия и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тактически приоритети при третиране на риска. Подходящите мерки за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lastRenderedPageBreak/>
        <w:t>третиране на риска зависят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от конкретния контекст и рисковете във връзка с операциите по обработване. Такива биха могли да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са, но не единствено: </w:t>
      </w:r>
      <w:proofErr w:type="spellStart"/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псевдонимизиране</w:t>
      </w:r>
      <w:proofErr w:type="spellEnd"/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и криптиране на ЛД, свеждане на данните до минимум,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прилагане на механизми за мониторинг и др.</w:t>
      </w:r>
    </w:p>
    <w:p w14:paraId="6E75DDCB" w14:textId="5396AF9D" w:rsidR="004450E3" w:rsidRPr="002256C7" w:rsidRDefault="004450E3" w:rsidP="00952DB7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Работната група по защита на ЛД заедно с DPO изготвя подробен доклад относно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извършената DPIA. Минимално необходимите реквизити, които доклада трябва да съдържа са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следните:</w:t>
      </w:r>
    </w:p>
    <w:p w14:paraId="3ACAB39A" w14:textId="5742992E" w:rsidR="004450E3" w:rsidRPr="002256C7" w:rsidRDefault="004450E3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Описание на обработката на ЛД в разглеждания процес;</w:t>
      </w:r>
    </w:p>
    <w:p w14:paraId="0D58E25B" w14:textId="20157873" w:rsidR="004450E3" w:rsidRPr="002256C7" w:rsidRDefault="004450E3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Описание на обхвата на извършваната оценка;</w:t>
      </w:r>
    </w:p>
    <w:p w14:paraId="25F07482" w14:textId="62AFB37F" w:rsidR="004450E3" w:rsidRPr="002256C7" w:rsidRDefault="004450E3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Списък на приложимото законодателство;</w:t>
      </w:r>
    </w:p>
    <w:p w14:paraId="1A7CF9A6" w14:textId="7BE8DE52" w:rsidR="004450E3" w:rsidRPr="00C37D73" w:rsidRDefault="004450E3" w:rsidP="00952DB7">
      <w:pPr>
        <w:pStyle w:val="ListParagraph"/>
        <w:numPr>
          <w:ilvl w:val="0"/>
          <w:numId w:val="37"/>
        </w:numPr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C37D73">
        <w:rPr>
          <w:rStyle w:val="hps"/>
          <w:rFonts w:ascii="Times New Roman" w:hAnsi="Times New Roman" w:cs="Times New Roman"/>
          <w:sz w:val="26"/>
          <w:szCs w:val="26"/>
          <w:lang w:val="bg-BG"/>
        </w:rPr>
        <w:t>Идентификацията и оценката на заплахите, уязвимите места и вероятността за тяхната</w:t>
      </w:r>
      <w:r w:rsidR="00C37D73" w:rsidRPr="00C37D73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C37D73">
        <w:rPr>
          <w:rStyle w:val="hps"/>
          <w:rFonts w:ascii="Times New Roman" w:hAnsi="Times New Roman" w:cs="Times New Roman"/>
          <w:sz w:val="26"/>
          <w:szCs w:val="26"/>
          <w:lang w:val="bg-BG"/>
        </w:rPr>
        <w:t>реализация;</w:t>
      </w:r>
    </w:p>
    <w:p w14:paraId="47821106" w14:textId="2B6FB45F" w:rsidR="004450E3" w:rsidRPr="002256C7" w:rsidRDefault="004450E3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Списък на контролите за третиране на риска;</w:t>
      </w:r>
    </w:p>
    <w:p w14:paraId="63D3E41A" w14:textId="252A474B" w:rsidR="004450E3" w:rsidRPr="002256C7" w:rsidRDefault="004450E3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Обосновка за потвърждаване на направената оценка;</w:t>
      </w:r>
    </w:p>
    <w:p w14:paraId="5A361DCF" w14:textId="29D1C116" w:rsidR="004450E3" w:rsidRPr="002256C7" w:rsidRDefault="004450E3" w:rsidP="00952DB7">
      <w:pPr>
        <w:pStyle w:val="ListParagraph"/>
        <w:numPr>
          <w:ilvl w:val="0"/>
          <w:numId w:val="37"/>
        </w:numPr>
        <w:ind w:left="284" w:firstLine="643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План за действие и мерките, които трябва да бъдат предприети за третиране на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идентифицираните рискове.</w:t>
      </w:r>
    </w:p>
    <w:p w14:paraId="217AF4C5" w14:textId="3B1EFFD0" w:rsidR="004450E3" w:rsidRPr="002256C7" w:rsidRDefault="004450E3" w:rsidP="00952DB7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DPO следи за правилното документиране на процеса по DPIA, изготвянето и прилагането на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плана за третиране на рисковете, документиране и обосновка на взетите решения относно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извършването на DPIA.</w:t>
      </w:r>
    </w:p>
    <w:p w14:paraId="5BB0A7D6" w14:textId="02106F52" w:rsidR="004450E3" w:rsidRPr="002256C7" w:rsidRDefault="004450E3" w:rsidP="00952DB7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Докладът от DPIA и дефинираните в него план за действие, стратегия и мерки за третиране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на идентифицираните рискове се представят пред Ректора на Университета за одобрение.</w:t>
      </w:r>
    </w:p>
    <w:p w14:paraId="7D890BFB" w14:textId="77777777" w:rsidR="006B4ECD" w:rsidRDefault="004450E3" w:rsidP="00952DB7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DPO извършва периодичен преглед на DPIA и на обработването, което се оценява чрез нея,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най-малкото когато настъпи промяна на риска, породен от операцията по обработване.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cr/>
      </w:r>
    </w:p>
    <w:p w14:paraId="5AC7E0F6" w14:textId="1948249F" w:rsidR="000C22BE" w:rsidRPr="001C2F18" w:rsidRDefault="000C22BE" w:rsidP="001C2F18">
      <w:pPr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1C2F18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5.9.</w:t>
      </w:r>
      <w:r w:rsidR="001313A9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1C2F18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ПУБЛИКУВАНЕ НА DPIA</w:t>
      </w:r>
    </w:p>
    <w:p w14:paraId="764E7A02" w14:textId="73FC46C5" w:rsidR="000C22BE" w:rsidRPr="002256C7" w:rsidRDefault="000C22BE" w:rsidP="00952DB7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Въпреки, че не съществува правно изискване за публикуване на DPIA, когато е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целесъобразно организацията може да публикува резюме или заключение от извършената оценка.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Целта на този процес е да се подпомогне изграждането на доверие в извършваните от ТрУ операции</w:t>
      </w:r>
      <w:r w:rsidR="006B4ECD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по обработване на ЛД и да се демонстрира отчетност и прозрачност. Решението за публикуване на</w:t>
      </w:r>
      <w:r w:rsidR="008F226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резюме или заключения от извършената DPIA се взима от Ректора на Университета.</w:t>
      </w:r>
    </w:p>
    <w:p w14:paraId="03B3BEA7" w14:textId="77777777" w:rsidR="008F2267" w:rsidRDefault="008F2267" w:rsidP="000C22BE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</w:p>
    <w:p w14:paraId="3BABA35A" w14:textId="5E79DA2C" w:rsidR="000C22BE" w:rsidRPr="002256C7" w:rsidRDefault="000C22BE" w:rsidP="000C22BE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5.10. КОНСУЛТАЦИЯ С НАДЗОРНИЯ ОРГАН</w:t>
      </w:r>
    </w:p>
    <w:p w14:paraId="548BF98F" w14:textId="0279474E" w:rsidR="000C22BE" w:rsidRPr="002256C7" w:rsidRDefault="000C22BE" w:rsidP="00F375FC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DPIA се изисква, когато съществува вероятност обработването да породи висок риск за</w:t>
      </w:r>
      <w:r w:rsidR="008F226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правата и свободите на субекта на данни. В такъв случай ТрУ носи отговорност да оцени рисковете</w:t>
      </w:r>
      <w:r w:rsidR="008F226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 да определи мерки за намаляване на тези рискове до приемливо равнище, за да демонстрира</w:t>
      </w:r>
      <w:r w:rsidR="008F226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спазването на GDPR. Ако въпреки предприетите от Университета мерки, нивото на остатъчния риск</w:t>
      </w:r>
      <w:r w:rsidR="008F226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продължава да бъде високо трябва да се извърши консултация с надзорния орган (КЗЛД).</w:t>
      </w:r>
    </w:p>
    <w:p w14:paraId="30642A88" w14:textId="50D25C02" w:rsidR="000C22BE" w:rsidRPr="002256C7" w:rsidRDefault="000C22BE" w:rsidP="00F375FC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Примерите за неприемливо висок остатъчен риск включват случаи, в които за субектите на</w:t>
      </w:r>
      <w:r w:rsidR="008F226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данни могат да настъпят значителни или дори необратими последици,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lastRenderedPageBreak/>
        <w:t>които те не могат да</w:t>
      </w:r>
      <w:r w:rsidR="008F226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преодолеят (например незаконен достъп до данни, който води до заплаха за живота на субектите на</w:t>
      </w:r>
      <w:r w:rsidR="008F226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данни, съкращение, финансов риск и др.).</w:t>
      </w:r>
    </w:p>
    <w:p w14:paraId="2A5CD734" w14:textId="116BA5E4" w:rsidR="000C22BE" w:rsidRPr="002256C7" w:rsidRDefault="000C22BE" w:rsidP="00F375FC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Консултация с надзорния орган (КЗЛД) се извършва всеки път, когато ТрУ не може да</w:t>
      </w:r>
      <w:r w:rsidR="008F226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установи достатъчни мерки за намаляване на рисковете до приемливо равнище (т.е. остатъчните</w:t>
      </w:r>
      <w:r w:rsidR="008F2267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рискове продължават да бъдат високи).</w:t>
      </w:r>
    </w:p>
    <w:p w14:paraId="22BBE18C" w14:textId="3831D417" w:rsidR="000C22BE" w:rsidRPr="002256C7" w:rsidRDefault="000C22BE" w:rsidP="00F375FC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Надзорният орган (КЗЛД) в срок до осем седмици след получаване на искането за</w:t>
      </w:r>
      <w:r w:rsid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консултация дава писмено становище. Този срок може да бъде удължен с още шест седмици</w:t>
      </w:r>
      <w:r w:rsid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предвид сложността на планираното обработване. Надзорният орган информира организацията за</w:t>
      </w:r>
      <w:r w:rsid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такова удължаване в срок от един месец от получаване на искането за консултация, включително за</w:t>
      </w:r>
      <w:r w:rsid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причините за забавянето. Тези срокове може да спрат да текат, докато надзорният орган получи</w:t>
      </w:r>
      <w:r w:rsid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всяка евентуално поискана от него информация за целите на консултацията.</w:t>
      </w:r>
    </w:p>
    <w:p w14:paraId="1CC86EC9" w14:textId="77777777" w:rsidR="000C22BE" w:rsidRPr="002256C7" w:rsidRDefault="000C22BE" w:rsidP="00F375FC">
      <w:pPr>
        <w:pStyle w:val="ListParagraph"/>
        <w:ind w:left="284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При консултиране, ТрУ предоставя на надзорния орган (КЗЛД) следната информация:</w:t>
      </w:r>
    </w:p>
    <w:p w14:paraId="504ECDF7" w14:textId="1245246B" w:rsidR="000C22BE" w:rsidRPr="002256C7" w:rsidRDefault="000C22BE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целите на планираното обработване и средствата за него;</w:t>
      </w:r>
    </w:p>
    <w:p w14:paraId="7A40585D" w14:textId="42E4B8AB" w:rsidR="000C22BE" w:rsidRPr="002256C7" w:rsidRDefault="000C22BE" w:rsidP="00F375FC">
      <w:pPr>
        <w:pStyle w:val="ListParagraph"/>
        <w:numPr>
          <w:ilvl w:val="0"/>
          <w:numId w:val="37"/>
        </w:numPr>
        <w:ind w:left="284" w:firstLine="643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предвидените мерки и гаранции за защита на правата и свободите на субектите на данни;</w:t>
      </w:r>
    </w:p>
    <w:p w14:paraId="118AED9C" w14:textId="251D618A" w:rsidR="000C22BE" w:rsidRPr="002256C7" w:rsidRDefault="000C22BE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координатите за връзка на длъжностното лице по защита на данните (DPO);</w:t>
      </w:r>
    </w:p>
    <w:p w14:paraId="19CA3D09" w14:textId="0CC205C6" w:rsidR="000C22BE" w:rsidRPr="002256C7" w:rsidRDefault="000C22BE" w:rsidP="00F375FC">
      <w:pPr>
        <w:pStyle w:val="ListParagraph"/>
        <w:numPr>
          <w:ilvl w:val="0"/>
          <w:numId w:val="37"/>
        </w:numPr>
        <w:ind w:left="284" w:firstLine="643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пълния доклад от извършената оценка на въздействието върху защитата на данните;</w:t>
      </w:r>
    </w:p>
    <w:p w14:paraId="6CE10586" w14:textId="2B281F1F" w:rsidR="001C2F18" w:rsidRDefault="000C22BE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всякаква друга информация, поискана от надзорния орган.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cr/>
      </w:r>
    </w:p>
    <w:p w14:paraId="331FADD5" w14:textId="0A7CB2B8" w:rsidR="000C22BE" w:rsidRPr="002256C7" w:rsidRDefault="000C22BE" w:rsidP="000C22BE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b/>
          <w:sz w:val="26"/>
          <w:szCs w:val="26"/>
          <w:lang w:val="bg-BG"/>
        </w:rPr>
        <w:t>6. СПРАВОЧНА ДОКУМЕНТАЦИЯ</w:t>
      </w:r>
    </w:p>
    <w:p w14:paraId="615C8364" w14:textId="1C186F2C" w:rsidR="000C22BE" w:rsidRPr="002256C7" w:rsidRDefault="000C22BE" w:rsidP="00C37D73">
      <w:pPr>
        <w:pStyle w:val="ListParagraph"/>
        <w:numPr>
          <w:ilvl w:val="0"/>
          <w:numId w:val="37"/>
        </w:numPr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ОРЗД</w:t>
      </w:r>
    </w:p>
    <w:p w14:paraId="2B3384BA" w14:textId="77777777" w:rsidR="00C37D73" w:rsidRDefault="00C37D73" w:rsidP="001C2F18">
      <w:pPr>
        <w:pStyle w:val="ListParagraph"/>
        <w:ind w:left="0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</w:p>
    <w:p w14:paraId="2AC03C97" w14:textId="77777777" w:rsidR="00C37D73" w:rsidRDefault="00C37D73" w:rsidP="001C2F18">
      <w:pPr>
        <w:pStyle w:val="ListParagraph"/>
        <w:ind w:left="0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</w:p>
    <w:p w14:paraId="01A2B39E" w14:textId="12784373" w:rsidR="000C22BE" w:rsidRPr="002256C7" w:rsidRDefault="000C22BE" w:rsidP="001C2F18">
      <w:pPr>
        <w:pStyle w:val="ListParagraph"/>
        <w:ind w:left="0" w:firstLine="567"/>
        <w:rPr>
          <w:rStyle w:val="hps"/>
          <w:rFonts w:ascii="Times New Roman" w:hAnsi="Times New Roman" w:cs="Times New Roman"/>
          <w:sz w:val="26"/>
          <w:szCs w:val="26"/>
          <w:lang w:val="bg-BG"/>
        </w:rPr>
      </w:pP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Настоящата Процедура за оценка на риска при обработване на лични данни е в сила от 25.05.2018 г.</w:t>
      </w:r>
      <w:r w:rsidR="001C2F18">
        <w:rPr>
          <w:rStyle w:val="hps"/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2256C7">
        <w:rPr>
          <w:rStyle w:val="hps"/>
          <w:rFonts w:ascii="Times New Roman" w:hAnsi="Times New Roman" w:cs="Times New Roman"/>
          <w:sz w:val="26"/>
          <w:szCs w:val="26"/>
          <w:lang w:val="bg-BG"/>
        </w:rPr>
        <w:t>и е актуализирана за последен път на 04.02.2020 г.</w:t>
      </w:r>
    </w:p>
    <w:p w14:paraId="53F1CF0F" w14:textId="4136121F" w:rsidR="004450E3" w:rsidRPr="002256C7" w:rsidRDefault="004450E3" w:rsidP="001824DB">
      <w:pPr>
        <w:pStyle w:val="ListParagraph"/>
        <w:ind w:left="567"/>
        <w:rPr>
          <w:rStyle w:val="hps"/>
          <w:rFonts w:ascii="Times New Roman" w:hAnsi="Times New Roman" w:cs="Times New Roman"/>
          <w:b/>
          <w:sz w:val="26"/>
          <w:szCs w:val="26"/>
          <w:u w:val="single"/>
          <w:lang w:val="bg-BG"/>
        </w:rPr>
      </w:pPr>
      <w:bookmarkStart w:id="0" w:name="_GoBack"/>
      <w:bookmarkEnd w:id="0"/>
    </w:p>
    <w:sectPr w:rsidR="004450E3" w:rsidRPr="002256C7" w:rsidSect="00CB1C06">
      <w:headerReference w:type="default" r:id="rId12"/>
      <w:footerReference w:type="default" r:id="rId13"/>
      <w:pgSz w:w="12240" w:h="15840"/>
      <w:pgMar w:top="1134" w:right="1041" w:bottom="720" w:left="1134" w:header="2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03B4" w14:textId="77777777" w:rsidR="0099521E" w:rsidRDefault="0099521E" w:rsidP="00A83965">
      <w:r>
        <w:separator/>
      </w:r>
    </w:p>
  </w:endnote>
  <w:endnote w:type="continuationSeparator" w:id="0">
    <w:p w14:paraId="600D37FB" w14:textId="77777777" w:rsidR="0099521E" w:rsidRDefault="0099521E" w:rsidP="00A8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362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11BA5" w14:textId="52323034" w:rsidR="00410775" w:rsidRDefault="00410775">
        <w:pPr>
          <w:pStyle w:val="Footer"/>
          <w:jc w:val="right"/>
        </w:pPr>
        <w:r w:rsidRPr="00410775">
          <w:rPr>
            <w:rFonts w:ascii="Arial Narrow" w:hAnsi="Arial Narrow"/>
            <w:sz w:val="20"/>
            <w:szCs w:val="20"/>
          </w:rPr>
          <w:fldChar w:fldCharType="begin"/>
        </w:r>
        <w:r w:rsidRPr="00410775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410775">
          <w:rPr>
            <w:rFonts w:ascii="Arial Narrow" w:hAnsi="Arial Narrow"/>
            <w:sz w:val="20"/>
            <w:szCs w:val="20"/>
          </w:rPr>
          <w:fldChar w:fldCharType="separate"/>
        </w:r>
        <w:r w:rsidR="00DD5C7B">
          <w:rPr>
            <w:rFonts w:ascii="Arial Narrow" w:hAnsi="Arial Narrow"/>
            <w:noProof/>
            <w:sz w:val="20"/>
            <w:szCs w:val="20"/>
          </w:rPr>
          <w:t>7</w:t>
        </w:r>
        <w:r w:rsidRPr="00410775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44FD4E74" w14:textId="77777777" w:rsidR="00410775" w:rsidRDefault="00410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E981" w14:textId="77777777" w:rsidR="0099521E" w:rsidRDefault="0099521E" w:rsidP="00A83965">
      <w:r>
        <w:separator/>
      </w:r>
    </w:p>
  </w:footnote>
  <w:footnote w:type="continuationSeparator" w:id="0">
    <w:p w14:paraId="58AE8186" w14:textId="77777777" w:rsidR="0099521E" w:rsidRDefault="0099521E" w:rsidP="00A83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68A7" w14:textId="42203F16" w:rsidR="00820359" w:rsidRDefault="00820359" w:rsidP="00820359">
    <w:pPr>
      <w:pStyle w:val="Header"/>
    </w:pPr>
  </w:p>
  <w:p w14:paraId="18C5BCD1" w14:textId="77777777" w:rsidR="00A83965" w:rsidRPr="00820359" w:rsidRDefault="00A83965" w:rsidP="00820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66D"/>
    <w:multiLevelType w:val="hybridMultilevel"/>
    <w:tmpl w:val="487E878E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E3339"/>
    <w:multiLevelType w:val="hybridMultilevel"/>
    <w:tmpl w:val="8704167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1037FE"/>
    <w:multiLevelType w:val="hybridMultilevel"/>
    <w:tmpl w:val="550AF786"/>
    <w:lvl w:ilvl="0" w:tplc="4E905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4B280B"/>
    <w:multiLevelType w:val="hybridMultilevel"/>
    <w:tmpl w:val="1A022808"/>
    <w:lvl w:ilvl="0" w:tplc="8F121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21692"/>
    <w:multiLevelType w:val="hybridMultilevel"/>
    <w:tmpl w:val="1C181DC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8E6E79"/>
    <w:multiLevelType w:val="hybridMultilevel"/>
    <w:tmpl w:val="E8BE5A6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C760E0"/>
    <w:multiLevelType w:val="hybridMultilevel"/>
    <w:tmpl w:val="40CAE3A0"/>
    <w:lvl w:ilvl="0" w:tplc="F6F00A50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4D196B"/>
    <w:multiLevelType w:val="hybridMultilevel"/>
    <w:tmpl w:val="9EB40CA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AF486C"/>
    <w:multiLevelType w:val="hybridMultilevel"/>
    <w:tmpl w:val="3136443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2754D2"/>
    <w:multiLevelType w:val="hybridMultilevel"/>
    <w:tmpl w:val="A3AEECBE"/>
    <w:lvl w:ilvl="0" w:tplc="C77E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55AFA"/>
    <w:multiLevelType w:val="hybridMultilevel"/>
    <w:tmpl w:val="DE5CEFE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7A1DB7"/>
    <w:multiLevelType w:val="hybridMultilevel"/>
    <w:tmpl w:val="7BDABB4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C239F1"/>
    <w:multiLevelType w:val="hybridMultilevel"/>
    <w:tmpl w:val="FF02AB94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137475D"/>
    <w:multiLevelType w:val="hybridMultilevel"/>
    <w:tmpl w:val="1BDC308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2C72BC1"/>
    <w:multiLevelType w:val="hybridMultilevel"/>
    <w:tmpl w:val="15AA785C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7631BBE"/>
    <w:multiLevelType w:val="hybridMultilevel"/>
    <w:tmpl w:val="9D7E9810"/>
    <w:lvl w:ilvl="0" w:tplc="BD6E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003A24"/>
    <w:multiLevelType w:val="hybridMultilevel"/>
    <w:tmpl w:val="A4D85DE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D518E2"/>
    <w:multiLevelType w:val="hybridMultilevel"/>
    <w:tmpl w:val="A0C42E1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72394"/>
    <w:multiLevelType w:val="hybridMultilevel"/>
    <w:tmpl w:val="3A3EB2AE"/>
    <w:lvl w:ilvl="0" w:tplc="D50A6458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BB013F"/>
    <w:multiLevelType w:val="hybridMultilevel"/>
    <w:tmpl w:val="4D24F07A"/>
    <w:lvl w:ilvl="0" w:tplc="9E8CE2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4330F5C"/>
    <w:multiLevelType w:val="hybridMultilevel"/>
    <w:tmpl w:val="785CF27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806752"/>
    <w:multiLevelType w:val="hybridMultilevel"/>
    <w:tmpl w:val="02001FDA"/>
    <w:lvl w:ilvl="0" w:tplc="A99EBA2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F0B200C"/>
    <w:multiLevelType w:val="hybridMultilevel"/>
    <w:tmpl w:val="43AA3BA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9C497C"/>
    <w:multiLevelType w:val="hybridMultilevel"/>
    <w:tmpl w:val="A78669DC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42A1B2A"/>
    <w:multiLevelType w:val="hybridMultilevel"/>
    <w:tmpl w:val="50AE841C"/>
    <w:lvl w:ilvl="0" w:tplc="BCD4A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F4391"/>
    <w:multiLevelType w:val="hybridMultilevel"/>
    <w:tmpl w:val="9DE27348"/>
    <w:lvl w:ilvl="0" w:tplc="05AA993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D52A21"/>
    <w:multiLevelType w:val="hybridMultilevel"/>
    <w:tmpl w:val="9F727D48"/>
    <w:lvl w:ilvl="0" w:tplc="DD104198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375E5C"/>
    <w:multiLevelType w:val="hybridMultilevel"/>
    <w:tmpl w:val="64CE8AEA"/>
    <w:lvl w:ilvl="0" w:tplc="DEC4B7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C16EED"/>
    <w:multiLevelType w:val="hybridMultilevel"/>
    <w:tmpl w:val="5490B3B8"/>
    <w:lvl w:ilvl="0" w:tplc="4E1AAE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F92F47"/>
    <w:multiLevelType w:val="hybridMultilevel"/>
    <w:tmpl w:val="55C49DCE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4263F83"/>
    <w:multiLevelType w:val="multilevel"/>
    <w:tmpl w:val="FE42CB9A"/>
    <w:lvl w:ilvl="0">
      <w:start w:val="1"/>
      <w:numFmt w:val="upperLetter"/>
      <w:lvlText w:val="%1"/>
      <w:lvlJc w:val="left"/>
      <w:pPr>
        <w:ind w:left="1126" w:hanging="1008"/>
      </w:pPr>
      <w:rPr>
        <w:rFonts w:hint="default"/>
        <w:lang w:val="de-AT" w:eastAsia="de-AT" w:bidi="de-AT"/>
      </w:rPr>
    </w:lvl>
    <w:lvl w:ilvl="1">
      <w:start w:val="6"/>
      <w:numFmt w:val="decimal"/>
      <w:lvlText w:val="%1.%2"/>
      <w:lvlJc w:val="left"/>
      <w:pPr>
        <w:ind w:left="1126" w:hanging="1008"/>
      </w:pPr>
      <w:rPr>
        <w:rFonts w:hint="default"/>
        <w:lang w:val="de-AT" w:eastAsia="de-AT" w:bidi="de-AT"/>
      </w:rPr>
    </w:lvl>
    <w:lvl w:ilvl="2">
      <w:start w:val="1"/>
      <w:numFmt w:val="decimal"/>
      <w:lvlText w:val="%1.%2.%3"/>
      <w:lvlJc w:val="left"/>
      <w:pPr>
        <w:ind w:left="1126" w:hanging="1008"/>
      </w:pPr>
      <w:rPr>
        <w:rFonts w:hint="default"/>
        <w:sz w:val="28"/>
        <w:szCs w:val="28"/>
        <w:lang w:val="de-AT" w:eastAsia="de-AT" w:bidi="de-AT"/>
      </w:rPr>
    </w:lvl>
    <w:lvl w:ilvl="3">
      <w:start w:val="1"/>
      <w:numFmt w:val="decimal"/>
      <w:lvlText w:val="%1.%2.%3.%4"/>
      <w:lvlJc w:val="left"/>
      <w:pPr>
        <w:ind w:left="1126" w:hanging="1008"/>
      </w:pPr>
      <w:rPr>
        <w:rFonts w:hint="default"/>
        <w:lang w:val="de-AT" w:eastAsia="de-AT" w:bidi="de-AT"/>
      </w:rPr>
    </w:lvl>
    <w:lvl w:ilvl="4">
      <w:start w:val="1"/>
      <w:numFmt w:val="decimal"/>
      <w:lvlText w:val="%1.%2.%3.%4.%5"/>
      <w:lvlJc w:val="left"/>
      <w:pPr>
        <w:ind w:left="1126" w:hanging="100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de-AT" w:eastAsia="de-AT" w:bidi="de-AT"/>
      </w:rPr>
    </w:lvl>
    <w:lvl w:ilvl="5">
      <w:numFmt w:val="bullet"/>
      <w:lvlText w:val="•"/>
      <w:lvlJc w:val="left"/>
      <w:pPr>
        <w:ind w:left="5353" w:hanging="1008"/>
      </w:pPr>
      <w:rPr>
        <w:rFonts w:hint="default"/>
        <w:lang w:val="de-AT" w:eastAsia="de-AT" w:bidi="de-AT"/>
      </w:rPr>
    </w:lvl>
    <w:lvl w:ilvl="6">
      <w:numFmt w:val="bullet"/>
      <w:lvlText w:val="•"/>
      <w:lvlJc w:val="left"/>
      <w:pPr>
        <w:ind w:left="6199" w:hanging="1008"/>
      </w:pPr>
      <w:rPr>
        <w:rFonts w:hint="default"/>
        <w:lang w:val="de-AT" w:eastAsia="de-AT" w:bidi="de-AT"/>
      </w:rPr>
    </w:lvl>
    <w:lvl w:ilvl="7">
      <w:numFmt w:val="bullet"/>
      <w:lvlText w:val="•"/>
      <w:lvlJc w:val="left"/>
      <w:pPr>
        <w:ind w:left="7046" w:hanging="1008"/>
      </w:pPr>
      <w:rPr>
        <w:rFonts w:hint="default"/>
        <w:lang w:val="de-AT" w:eastAsia="de-AT" w:bidi="de-AT"/>
      </w:rPr>
    </w:lvl>
    <w:lvl w:ilvl="8">
      <w:numFmt w:val="bullet"/>
      <w:lvlText w:val="•"/>
      <w:lvlJc w:val="left"/>
      <w:pPr>
        <w:ind w:left="7893" w:hanging="1008"/>
      </w:pPr>
      <w:rPr>
        <w:rFonts w:hint="default"/>
        <w:lang w:val="de-AT" w:eastAsia="de-AT" w:bidi="de-AT"/>
      </w:rPr>
    </w:lvl>
  </w:abstractNum>
  <w:abstractNum w:abstractNumId="31" w15:restartNumberingAfterBreak="0">
    <w:nsid w:val="6E644C70"/>
    <w:multiLevelType w:val="hybridMultilevel"/>
    <w:tmpl w:val="FC6EB69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2C7997"/>
    <w:multiLevelType w:val="hybridMultilevel"/>
    <w:tmpl w:val="CCBA762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581399F"/>
    <w:multiLevelType w:val="hybridMultilevel"/>
    <w:tmpl w:val="530A353C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i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6561F5A"/>
    <w:multiLevelType w:val="hybridMultilevel"/>
    <w:tmpl w:val="F300F784"/>
    <w:lvl w:ilvl="0" w:tplc="E0F6DE6E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2DF4751C">
      <w:start w:val="1"/>
      <w:numFmt w:val="lowerLetter"/>
      <w:lvlText w:val="%2."/>
      <w:lvlJc w:val="left"/>
      <w:pPr>
        <w:ind w:left="1636" w:hanging="360"/>
      </w:pPr>
      <w:rPr>
        <w:b w:val="0"/>
        <w:color w:val="auto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C86391"/>
    <w:multiLevelType w:val="hybridMultilevel"/>
    <w:tmpl w:val="018A4B42"/>
    <w:lvl w:ilvl="0" w:tplc="D50A645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8D14B22"/>
    <w:multiLevelType w:val="hybridMultilevel"/>
    <w:tmpl w:val="491405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7C4FDE"/>
    <w:multiLevelType w:val="hybridMultilevel"/>
    <w:tmpl w:val="891C7F8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6112DA"/>
    <w:multiLevelType w:val="hybridMultilevel"/>
    <w:tmpl w:val="76EA8C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24"/>
  </w:num>
  <w:num w:numId="4">
    <w:abstractNumId w:val="25"/>
  </w:num>
  <w:num w:numId="5">
    <w:abstractNumId w:val="9"/>
  </w:num>
  <w:num w:numId="6">
    <w:abstractNumId w:val="19"/>
  </w:num>
  <w:num w:numId="7">
    <w:abstractNumId w:val="38"/>
  </w:num>
  <w:num w:numId="8">
    <w:abstractNumId w:val="6"/>
  </w:num>
  <w:num w:numId="9">
    <w:abstractNumId w:val="3"/>
  </w:num>
  <w:num w:numId="10">
    <w:abstractNumId w:val="15"/>
  </w:num>
  <w:num w:numId="11">
    <w:abstractNumId w:val="2"/>
  </w:num>
  <w:num w:numId="12">
    <w:abstractNumId w:val="28"/>
  </w:num>
  <w:num w:numId="13">
    <w:abstractNumId w:val="27"/>
  </w:num>
  <w:num w:numId="14">
    <w:abstractNumId w:val="34"/>
  </w:num>
  <w:num w:numId="15">
    <w:abstractNumId w:val="26"/>
  </w:num>
  <w:num w:numId="16">
    <w:abstractNumId w:val="30"/>
  </w:num>
  <w:num w:numId="17">
    <w:abstractNumId w:val="20"/>
  </w:num>
  <w:num w:numId="18">
    <w:abstractNumId w:val="16"/>
  </w:num>
  <w:num w:numId="19">
    <w:abstractNumId w:val="10"/>
  </w:num>
  <w:num w:numId="20">
    <w:abstractNumId w:val="13"/>
  </w:num>
  <w:num w:numId="21">
    <w:abstractNumId w:val="14"/>
  </w:num>
  <w:num w:numId="22">
    <w:abstractNumId w:val="18"/>
  </w:num>
  <w:num w:numId="23">
    <w:abstractNumId w:val="0"/>
  </w:num>
  <w:num w:numId="24">
    <w:abstractNumId w:val="17"/>
  </w:num>
  <w:num w:numId="25">
    <w:abstractNumId w:val="33"/>
  </w:num>
  <w:num w:numId="26">
    <w:abstractNumId w:val="5"/>
  </w:num>
  <w:num w:numId="27">
    <w:abstractNumId w:val="29"/>
  </w:num>
  <w:num w:numId="28">
    <w:abstractNumId w:val="4"/>
  </w:num>
  <w:num w:numId="29">
    <w:abstractNumId w:val="23"/>
  </w:num>
  <w:num w:numId="30">
    <w:abstractNumId w:val="1"/>
  </w:num>
  <w:num w:numId="31">
    <w:abstractNumId w:val="35"/>
  </w:num>
  <w:num w:numId="32">
    <w:abstractNumId w:val="11"/>
  </w:num>
  <w:num w:numId="33">
    <w:abstractNumId w:val="12"/>
  </w:num>
  <w:num w:numId="34">
    <w:abstractNumId w:val="7"/>
  </w:num>
  <w:num w:numId="35">
    <w:abstractNumId w:val="37"/>
  </w:num>
  <w:num w:numId="36">
    <w:abstractNumId w:val="22"/>
  </w:num>
  <w:num w:numId="37">
    <w:abstractNumId w:val="31"/>
  </w:num>
  <w:num w:numId="38">
    <w:abstractNumId w:val="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65"/>
    <w:rsid w:val="00003C9A"/>
    <w:rsid w:val="0000442F"/>
    <w:rsid w:val="000051E7"/>
    <w:rsid w:val="0001085B"/>
    <w:rsid w:val="00011862"/>
    <w:rsid w:val="000212E8"/>
    <w:rsid w:val="00036C57"/>
    <w:rsid w:val="00043BEE"/>
    <w:rsid w:val="00082AB6"/>
    <w:rsid w:val="00093F9D"/>
    <w:rsid w:val="000A461C"/>
    <w:rsid w:val="000A54A0"/>
    <w:rsid w:val="000A6743"/>
    <w:rsid w:val="000B0018"/>
    <w:rsid w:val="000B1DD9"/>
    <w:rsid w:val="000B2A3E"/>
    <w:rsid w:val="000B715F"/>
    <w:rsid w:val="000C1AA9"/>
    <w:rsid w:val="000C22BE"/>
    <w:rsid w:val="000E0E4B"/>
    <w:rsid w:val="000E1D4B"/>
    <w:rsid w:val="000E6C82"/>
    <w:rsid w:val="0010228C"/>
    <w:rsid w:val="00106EFE"/>
    <w:rsid w:val="001126D1"/>
    <w:rsid w:val="001253A7"/>
    <w:rsid w:val="0013124F"/>
    <w:rsid w:val="001313A9"/>
    <w:rsid w:val="00131D76"/>
    <w:rsid w:val="00134620"/>
    <w:rsid w:val="001564B5"/>
    <w:rsid w:val="00170962"/>
    <w:rsid w:val="00174017"/>
    <w:rsid w:val="001824DB"/>
    <w:rsid w:val="00196C5E"/>
    <w:rsid w:val="00197512"/>
    <w:rsid w:val="001A0F0B"/>
    <w:rsid w:val="001A42FE"/>
    <w:rsid w:val="001B7D47"/>
    <w:rsid w:val="001C2F18"/>
    <w:rsid w:val="001C3ED2"/>
    <w:rsid w:val="001D1B0C"/>
    <w:rsid w:val="001E2BE7"/>
    <w:rsid w:val="001F6F4F"/>
    <w:rsid w:val="001F7DAD"/>
    <w:rsid w:val="00200C13"/>
    <w:rsid w:val="00203E4C"/>
    <w:rsid w:val="00206BD1"/>
    <w:rsid w:val="0022091D"/>
    <w:rsid w:val="002256C7"/>
    <w:rsid w:val="00233257"/>
    <w:rsid w:val="002360E5"/>
    <w:rsid w:val="0025274F"/>
    <w:rsid w:val="00255CBC"/>
    <w:rsid w:val="00264F95"/>
    <w:rsid w:val="00284AB5"/>
    <w:rsid w:val="002A2F75"/>
    <w:rsid w:val="002A3429"/>
    <w:rsid w:val="002A41B7"/>
    <w:rsid w:val="002A743D"/>
    <w:rsid w:val="002B36C6"/>
    <w:rsid w:val="002B5A5B"/>
    <w:rsid w:val="002B7AE2"/>
    <w:rsid w:val="002C03B2"/>
    <w:rsid w:val="002C7B42"/>
    <w:rsid w:val="002D1E0C"/>
    <w:rsid w:val="002E076F"/>
    <w:rsid w:val="002E272A"/>
    <w:rsid w:val="002E32FB"/>
    <w:rsid w:val="002E5FB7"/>
    <w:rsid w:val="002E640E"/>
    <w:rsid w:val="002E6BF6"/>
    <w:rsid w:val="002F6487"/>
    <w:rsid w:val="003006FA"/>
    <w:rsid w:val="00302D1C"/>
    <w:rsid w:val="003218E7"/>
    <w:rsid w:val="00340153"/>
    <w:rsid w:val="00346228"/>
    <w:rsid w:val="00346738"/>
    <w:rsid w:val="003516CA"/>
    <w:rsid w:val="00356D2D"/>
    <w:rsid w:val="00362F0A"/>
    <w:rsid w:val="00363002"/>
    <w:rsid w:val="003708D3"/>
    <w:rsid w:val="00390618"/>
    <w:rsid w:val="00393227"/>
    <w:rsid w:val="003A466D"/>
    <w:rsid w:val="003C3142"/>
    <w:rsid w:val="003C574A"/>
    <w:rsid w:val="003F24D7"/>
    <w:rsid w:val="003F5678"/>
    <w:rsid w:val="003F7A74"/>
    <w:rsid w:val="003F7AD9"/>
    <w:rsid w:val="00400983"/>
    <w:rsid w:val="00402BCA"/>
    <w:rsid w:val="0040509C"/>
    <w:rsid w:val="00410775"/>
    <w:rsid w:val="004133A4"/>
    <w:rsid w:val="00421B38"/>
    <w:rsid w:val="00424247"/>
    <w:rsid w:val="00425E8B"/>
    <w:rsid w:val="00430567"/>
    <w:rsid w:val="00434A49"/>
    <w:rsid w:val="004407BC"/>
    <w:rsid w:val="004421BB"/>
    <w:rsid w:val="00443802"/>
    <w:rsid w:val="004450E3"/>
    <w:rsid w:val="0047098A"/>
    <w:rsid w:val="00477059"/>
    <w:rsid w:val="00477D71"/>
    <w:rsid w:val="00477F6E"/>
    <w:rsid w:val="00480D3C"/>
    <w:rsid w:val="004953A3"/>
    <w:rsid w:val="00496013"/>
    <w:rsid w:val="004A0B7A"/>
    <w:rsid w:val="004A1B00"/>
    <w:rsid w:val="004C4BB3"/>
    <w:rsid w:val="004E5946"/>
    <w:rsid w:val="004F018A"/>
    <w:rsid w:val="004F22E8"/>
    <w:rsid w:val="004F23BC"/>
    <w:rsid w:val="005045A1"/>
    <w:rsid w:val="005055BA"/>
    <w:rsid w:val="00507ED4"/>
    <w:rsid w:val="00510D46"/>
    <w:rsid w:val="00514631"/>
    <w:rsid w:val="00520F23"/>
    <w:rsid w:val="00522D5E"/>
    <w:rsid w:val="00525E7B"/>
    <w:rsid w:val="00531848"/>
    <w:rsid w:val="00531CFB"/>
    <w:rsid w:val="00540201"/>
    <w:rsid w:val="00541CF1"/>
    <w:rsid w:val="00543EC7"/>
    <w:rsid w:val="00565AC5"/>
    <w:rsid w:val="00567CA7"/>
    <w:rsid w:val="0057115B"/>
    <w:rsid w:val="0057365B"/>
    <w:rsid w:val="00576532"/>
    <w:rsid w:val="0057696D"/>
    <w:rsid w:val="00583676"/>
    <w:rsid w:val="00586885"/>
    <w:rsid w:val="005A05A6"/>
    <w:rsid w:val="005B644E"/>
    <w:rsid w:val="005C0915"/>
    <w:rsid w:val="005C53A8"/>
    <w:rsid w:val="005D3CB0"/>
    <w:rsid w:val="005F7659"/>
    <w:rsid w:val="005F79F7"/>
    <w:rsid w:val="00610F52"/>
    <w:rsid w:val="00612DA0"/>
    <w:rsid w:val="00643117"/>
    <w:rsid w:val="00643454"/>
    <w:rsid w:val="006467C6"/>
    <w:rsid w:val="006551F4"/>
    <w:rsid w:val="00664D59"/>
    <w:rsid w:val="0067410D"/>
    <w:rsid w:val="006745B9"/>
    <w:rsid w:val="006776BA"/>
    <w:rsid w:val="00683276"/>
    <w:rsid w:val="00686FB5"/>
    <w:rsid w:val="006A06A7"/>
    <w:rsid w:val="006A25E3"/>
    <w:rsid w:val="006A4AF2"/>
    <w:rsid w:val="006B0EE1"/>
    <w:rsid w:val="006B43BE"/>
    <w:rsid w:val="006B4ECD"/>
    <w:rsid w:val="006C2310"/>
    <w:rsid w:val="006C735A"/>
    <w:rsid w:val="006D1095"/>
    <w:rsid w:val="006D194E"/>
    <w:rsid w:val="006D6A71"/>
    <w:rsid w:val="006E1260"/>
    <w:rsid w:val="00700D18"/>
    <w:rsid w:val="00703622"/>
    <w:rsid w:val="0072442E"/>
    <w:rsid w:val="00737459"/>
    <w:rsid w:val="00753504"/>
    <w:rsid w:val="0076167D"/>
    <w:rsid w:val="00776839"/>
    <w:rsid w:val="007C133E"/>
    <w:rsid w:val="007C7323"/>
    <w:rsid w:val="007D285C"/>
    <w:rsid w:val="007E5813"/>
    <w:rsid w:val="007F6E44"/>
    <w:rsid w:val="007F7536"/>
    <w:rsid w:val="008005C1"/>
    <w:rsid w:val="008122F2"/>
    <w:rsid w:val="00812309"/>
    <w:rsid w:val="00820359"/>
    <w:rsid w:val="008210E2"/>
    <w:rsid w:val="00835BA6"/>
    <w:rsid w:val="00836FD5"/>
    <w:rsid w:val="008427A6"/>
    <w:rsid w:val="0084749E"/>
    <w:rsid w:val="00847DDD"/>
    <w:rsid w:val="008530C2"/>
    <w:rsid w:val="00853AC1"/>
    <w:rsid w:val="00872545"/>
    <w:rsid w:val="00873602"/>
    <w:rsid w:val="00895136"/>
    <w:rsid w:val="008957AB"/>
    <w:rsid w:val="008A7D8B"/>
    <w:rsid w:val="008B35EE"/>
    <w:rsid w:val="008B46A6"/>
    <w:rsid w:val="008C555D"/>
    <w:rsid w:val="008C7623"/>
    <w:rsid w:val="008E333C"/>
    <w:rsid w:val="008F2267"/>
    <w:rsid w:val="008F4859"/>
    <w:rsid w:val="00901720"/>
    <w:rsid w:val="00923E76"/>
    <w:rsid w:val="00926502"/>
    <w:rsid w:val="00937571"/>
    <w:rsid w:val="0093762A"/>
    <w:rsid w:val="0094269D"/>
    <w:rsid w:val="00952DB7"/>
    <w:rsid w:val="009531D5"/>
    <w:rsid w:val="00956998"/>
    <w:rsid w:val="0097247B"/>
    <w:rsid w:val="00976863"/>
    <w:rsid w:val="00977F46"/>
    <w:rsid w:val="0099521E"/>
    <w:rsid w:val="009B3B7E"/>
    <w:rsid w:val="009C0267"/>
    <w:rsid w:val="009C316F"/>
    <w:rsid w:val="009C34DD"/>
    <w:rsid w:val="009D00CF"/>
    <w:rsid w:val="009D4EB2"/>
    <w:rsid w:val="009F1E47"/>
    <w:rsid w:val="009F637B"/>
    <w:rsid w:val="00A000E0"/>
    <w:rsid w:val="00A0374E"/>
    <w:rsid w:val="00A13C11"/>
    <w:rsid w:val="00A17773"/>
    <w:rsid w:val="00A31AB1"/>
    <w:rsid w:val="00A46B29"/>
    <w:rsid w:val="00A62F72"/>
    <w:rsid w:val="00A72D9D"/>
    <w:rsid w:val="00A7562A"/>
    <w:rsid w:val="00A83965"/>
    <w:rsid w:val="00A959C5"/>
    <w:rsid w:val="00A96E9B"/>
    <w:rsid w:val="00AA4F93"/>
    <w:rsid w:val="00AC0214"/>
    <w:rsid w:val="00AC6D81"/>
    <w:rsid w:val="00AD39DA"/>
    <w:rsid w:val="00AD5956"/>
    <w:rsid w:val="00B024FA"/>
    <w:rsid w:val="00B0651E"/>
    <w:rsid w:val="00B1262D"/>
    <w:rsid w:val="00B15983"/>
    <w:rsid w:val="00B16EF1"/>
    <w:rsid w:val="00B35216"/>
    <w:rsid w:val="00B55AD6"/>
    <w:rsid w:val="00B561D8"/>
    <w:rsid w:val="00B56758"/>
    <w:rsid w:val="00B66AAE"/>
    <w:rsid w:val="00B76AC7"/>
    <w:rsid w:val="00B91C0C"/>
    <w:rsid w:val="00B920DE"/>
    <w:rsid w:val="00B934BB"/>
    <w:rsid w:val="00BB62A9"/>
    <w:rsid w:val="00BB7F16"/>
    <w:rsid w:val="00BC3193"/>
    <w:rsid w:val="00BC6703"/>
    <w:rsid w:val="00BD18B7"/>
    <w:rsid w:val="00BD7867"/>
    <w:rsid w:val="00BF15BC"/>
    <w:rsid w:val="00C00E09"/>
    <w:rsid w:val="00C0246F"/>
    <w:rsid w:val="00C04882"/>
    <w:rsid w:val="00C148A4"/>
    <w:rsid w:val="00C221D6"/>
    <w:rsid w:val="00C23904"/>
    <w:rsid w:val="00C37D73"/>
    <w:rsid w:val="00C40174"/>
    <w:rsid w:val="00C502D7"/>
    <w:rsid w:val="00C51774"/>
    <w:rsid w:val="00C535C9"/>
    <w:rsid w:val="00C5500B"/>
    <w:rsid w:val="00C5673F"/>
    <w:rsid w:val="00C60CF0"/>
    <w:rsid w:val="00C72187"/>
    <w:rsid w:val="00C76743"/>
    <w:rsid w:val="00C80235"/>
    <w:rsid w:val="00C819FA"/>
    <w:rsid w:val="00C87F54"/>
    <w:rsid w:val="00C94F7B"/>
    <w:rsid w:val="00C963A6"/>
    <w:rsid w:val="00C97015"/>
    <w:rsid w:val="00CA0243"/>
    <w:rsid w:val="00CB188E"/>
    <w:rsid w:val="00CB1C06"/>
    <w:rsid w:val="00CB66DA"/>
    <w:rsid w:val="00CB7577"/>
    <w:rsid w:val="00CE54A5"/>
    <w:rsid w:val="00D04987"/>
    <w:rsid w:val="00D056A2"/>
    <w:rsid w:val="00D07B54"/>
    <w:rsid w:val="00D137B0"/>
    <w:rsid w:val="00D31C85"/>
    <w:rsid w:val="00D34D23"/>
    <w:rsid w:val="00D363F5"/>
    <w:rsid w:val="00D47D52"/>
    <w:rsid w:val="00D5124C"/>
    <w:rsid w:val="00D51913"/>
    <w:rsid w:val="00D55E4E"/>
    <w:rsid w:val="00D63739"/>
    <w:rsid w:val="00D66288"/>
    <w:rsid w:val="00D67A8E"/>
    <w:rsid w:val="00D74E6F"/>
    <w:rsid w:val="00D7553F"/>
    <w:rsid w:val="00D868CF"/>
    <w:rsid w:val="00D9067E"/>
    <w:rsid w:val="00DA573B"/>
    <w:rsid w:val="00DA5D08"/>
    <w:rsid w:val="00DC1B84"/>
    <w:rsid w:val="00DD5C7B"/>
    <w:rsid w:val="00DD7562"/>
    <w:rsid w:val="00DF2C9A"/>
    <w:rsid w:val="00E00751"/>
    <w:rsid w:val="00E04323"/>
    <w:rsid w:val="00E0797D"/>
    <w:rsid w:val="00E22052"/>
    <w:rsid w:val="00E4725C"/>
    <w:rsid w:val="00E52E27"/>
    <w:rsid w:val="00E53FD1"/>
    <w:rsid w:val="00E635F4"/>
    <w:rsid w:val="00E73BAD"/>
    <w:rsid w:val="00E74F99"/>
    <w:rsid w:val="00E75231"/>
    <w:rsid w:val="00E75379"/>
    <w:rsid w:val="00E76919"/>
    <w:rsid w:val="00E77DB1"/>
    <w:rsid w:val="00E8751F"/>
    <w:rsid w:val="00E9097A"/>
    <w:rsid w:val="00EA3CC1"/>
    <w:rsid w:val="00EA6817"/>
    <w:rsid w:val="00EB4C46"/>
    <w:rsid w:val="00EC178E"/>
    <w:rsid w:val="00EF1D00"/>
    <w:rsid w:val="00EF3DC5"/>
    <w:rsid w:val="00F10321"/>
    <w:rsid w:val="00F10C2F"/>
    <w:rsid w:val="00F13C40"/>
    <w:rsid w:val="00F15658"/>
    <w:rsid w:val="00F16343"/>
    <w:rsid w:val="00F375FC"/>
    <w:rsid w:val="00F42BB3"/>
    <w:rsid w:val="00F4314D"/>
    <w:rsid w:val="00F6118C"/>
    <w:rsid w:val="00F63462"/>
    <w:rsid w:val="00F642CA"/>
    <w:rsid w:val="00F65F75"/>
    <w:rsid w:val="00F675B0"/>
    <w:rsid w:val="00F77687"/>
    <w:rsid w:val="00F8248E"/>
    <w:rsid w:val="00F8520C"/>
    <w:rsid w:val="00F85AFC"/>
    <w:rsid w:val="00F95A63"/>
    <w:rsid w:val="00FA0A2B"/>
    <w:rsid w:val="00FA190F"/>
    <w:rsid w:val="00FC6871"/>
    <w:rsid w:val="00FE245F"/>
    <w:rsid w:val="00FF3116"/>
    <w:rsid w:val="6FEA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8BF9"/>
  <w15:docId w15:val="{9CA80460-486A-40B1-A393-0754A4A0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6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965"/>
  </w:style>
  <w:style w:type="paragraph" w:styleId="Footer">
    <w:name w:val="footer"/>
    <w:basedOn w:val="Normal"/>
    <w:link w:val="FooterChar"/>
    <w:uiPriority w:val="99"/>
    <w:unhideWhenUsed/>
    <w:rsid w:val="00A8396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965"/>
  </w:style>
  <w:style w:type="paragraph" w:styleId="BalloonText">
    <w:name w:val="Balloon Text"/>
    <w:basedOn w:val="Normal"/>
    <w:link w:val="BalloonTextChar"/>
    <w:uiPriority w:val="99"/>
    <w:semiHidden/>
    <w:unhideWhenUsed/>
    <w:rsid w:val="00A83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739"/>
    <w:pPr>
      <w:ind w:left="720"/>
      <w:contextualSpacing/>
    </w:pPr>
  </w:style>
  <w:style w:type="character" w:customStyle="1" w:styleId="hps">
    <w:name w:val="hps"/>
    <w:basedOn w:val="DefaultParagraphFont"/>
    <w:rsid w:val="00443802"/>
  </w:style>
  <w:style w:type="character" w:customStyle="1" w:styleId="shorttext">
    <w:name w:val="short_text"/>
    <w:basedOn w:val="DefaultParagraphFont"/>
    <w:rsid w:val="00443802"/>
  </w:style>
  <w:style w:type="character" w:customStyle="1" w:styleId="longtext">
    <w:name w:val="long_text"/>
    <w:basedOn w:val="DefaultParagraphFont"/>
    <w:rsid w:val="00443802"/>
  </w:style>
  <w:style w:type="character" w:styleId="Hyperlink">
    <w:name w:val="Hyperlink"/>
    <w:basedOn w:val="DefaultParagraphFont"/>
    <w:uiPriority w:val="99"/>
    <w:unhideWhenUsed/>
    <w:rsid w:val="004438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AA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C735A"/>
    <w:pPr>
      <w:jc w:val="left"/>
    </w:pPr>
    <w:rPr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4F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2E8"/>
    <w:rPr>
      <w:b/>
      <w:bCs/>
      <w:sz w:val="20"/>
      <w:szCs w:val="20"/>
    </w:rPr>
  </w:style>
  <w:style w:type="character" w:styleId="Strong">
    <w:name w:val="Strong"/>
    <w:qFormat/>
    <w:rsid w:val="001564B5"/>
    <w:rPr>
      <w:b/>
      <w:bCs/>
    </w:rPr>
  </w:style>
  <w:style w:type="paragraph" w:customStyle="1" w:styleId="Normal1">
    <w:name w:val="Normal1"/>
    <w:basedOn w:val="Normal"/>
    <w:rsid w:val="001564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8AC7-AFB1-4B49-8BF1-901172732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4559C-3487-4CD6-9F20-C6164C9EF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E1F23-62ED-43B0-BE58-7B08AEDE9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3AE7A-EE16-4F6F-AFA1-F2413EF8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2448</Words>
  <Characters>13959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root</cp:lastModifiedBy>
  <cp:revision>20</cp:revision>
  <dcterms:created xsi:type="dcterms:W3CDTF">2021-11-23T07:52:00Z</dcterms:created>
  <dcterms:modified xsi:type="dcterms:W3CDTF">2021-11-23T09:17:00Z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